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招商轮船（601872）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ROE≈17.5% | 市值1384亿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招商轮船（601872）。所属行业为[]。总市值约1384.0亿元，属大型企业。主营业务围绕[]展开。PE约17.5倍，处于低估值区间。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招商轮船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601872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1383.98亿元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招商轮船所属[]行业。由于概念标签数据当前不可获取（Tushare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招商轮船在[]领域运营。以下基于行业通用框架和公开信息进行分析。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从市值规模（1384.0亿元）判断，公司属于[]行业的大型平台型企业。在这个定位下，公司竞争策略可能以差异化产品或细分市场深耕为主，而非全品类价格战。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由PE17.5倍和总市值1384.0亿元推导，公司年化净利润约79.08亿。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若参考行业约7%的通用净利率水平，推导年营收约1129.71亿。此为间接估算，准确数据请查阅公司最新年报。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上游：原材料供应商和设备制造商（具体取决于[]细分环节）。对于招商轮船这类企业，关键原材料包括钢材、有色金属、电子元器件等基础工业品，采购来源相对分散。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推导年化净利润约79.08亿（=总市值1384.0亿 ÷ PE17.5倍）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推导ROE约17.5%（=PB3.1 ÷ PE17.5）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1383.98亿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3.07倍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79.08亿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招商轮船所在赛道：[]。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17.5x处于低估值区间，PB 3.07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3.07倍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1383.98亿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公司业绩超预期增长，若净利润增速&gt;30%则当前PE17.5x有望被快速消化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总市值1384.0亿元，适中的规模意味着业绩弹性较大，一旦基本面改善，利润和估值双升弹性显著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流动性风险：换手率1.85%，极端行情下可能出现流动性不足，大资金进出受限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PE17.5x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招商轮船具有一定投资价值，但存在局部短板。建议在理解风险的前提下适度关注。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估值优势：PE17.5x处于A股中等偏低水平，若业绩改善确认，估值修复空间明确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ROE17.5%处于良好水平，显示公司资本运用效率较高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宏观经济波动可能影响招商轮船的下游需求和盈利能力，系统性风险不可忽视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可比公司估值对照——对比[]内同体量上市公司的PE中位数和PB均值，判断招商轮船的相对估值位置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