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广州酒家（603043）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ROE≈13.0% | 市值75亿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广州酒家（603043）。所属行业为[]。总市值约75.0亿元，属中型企业。主营业务围绕[]展开。PE约15.3倍，处于低估值区间。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广州酒家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603043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75.05亿元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广州酒家所属[]行业。由于概念标签数据当前不可获取（Tushare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广州酒家在[]领域运营。以下基于行业通用框架和公开信息进行分析。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从市值规模（75.0亿元）判断，公司属于[]行业的中型专业化企业。在这个定位下，公司竞争策略可能以差异化产品或细分市场深耕为主，而非全品类价格战。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由PE15.3倍和总市值75.0亿元推导，公司年化净利润约4.90亿。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若参考行业约7%的通用净利率水平，推导年营收约70.00亿。此为间接估算，准确数据请查阅公司最新年报。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上游：原材料供应商和设备制造商（具体取决于[]细分环节）。对于广州酒家这类企业，关键原材料包括钢材、有色金属、电子元器件等基础工业品，采购来源相对分散。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推导年化净利润约4.90亿（=总市值75.0亿 ÷ PE15.3倍）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推导ROE约13.0%（=PB2.0 ÷ PE15.3）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75.05亿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4.90亿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广州酒家所在赛道：[]。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15.3x处于低估值区间，PB 1.99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1.99倍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75.05亿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0.34%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13.0%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公司业绩超预期增长，若净利润增速&gt;30%则当前PE15.3x有望被快速消化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总市值75.0亿元，适中的规模意味着业绩弹性较大，一旦基本面改善，利润和估值双升弹性显著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流动性风险：换手率0.34%，极端行情下可能出现流动性不足，大资金进出受限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PE15.3x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PB2.0x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21/35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综合评级：B级·推荐-B（21/35）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广州酒家具有一定投资价值，但存在局部短板。建议在理解风险的前提下适度关注。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估值优势：PE15.3x处于A股中等偏低水平，若业绩改善确认，估值修复空间明确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ROE13.0%处于良好水平，显示公司资本运用效率较高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市值75亿元处于中小市值区间，业绩弹性大，盈利改善对股价的传导效率高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宏观经济波动可能影响广州酒家的下游需求和盈利能力，系统性风险不可忽视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可比公司估值对照——对比[]内同体量上市公司的PE中位数和PB均值，判断广州酒家的相对估值位置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08:19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