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东方材料（603110）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ROE≈0.2%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东方材料（603110）。所属行业为[]。总市值约48.5亿元，属中小型企业。主营业务围绕[]展开。PE约4364.6倍，处于高估值成长区间。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东方材料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603110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东方材料所属[]行业。由于概念标签数据当前不可获取（Tushare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东方材料在[]领域运营。以下基于行业通用框架和公开信息进行分析。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由PE4364.6倍和总市值48.5亿元推导，公司年化净利润约100万。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若参考行业约7%的通用净利率水平，推导年营收约1429万。此为间接估算，准确数据请查阅公司最新年报。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上游：原材料供应商和设备制造商（具体取决于[]细分环节）。对于东方材料这类企业，关键原材料包括钢材、有色金属、电子元器件等基础工业品，采购来源相对分散。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推导年化净利润约100万（=总市值48.5亿 ÷ PE4364.6倍）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推导ROE约0.2%（=PB7.0 ÷ PE4364.6）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4364.6倍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东方材料所在赛道：[]。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4364.6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6.96x也处于中等偏高水平，若ROE不能持续维持在&gt;20%的水平，PB难以维持当前高位。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4364.6倍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公司业绩超预期增长，若净利润增速&gt;30%则当前PE4364.6x有望被快速消化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高估值回调风险：PE4364.6倍处于高估值区间，若业绩不及预期可能面临"戴维斯双杀"（估值+业绩双重下修），PE从4364.6x回落至2182x可能导致股价腰斩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换手率10.52%偏高，短线博弈资金占比大，价格波动可能加剧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高PB风险：PB6.96x需要高ROE支撑，若ROE下滑PB将面临均值回归压力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PE4364.6x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东方材料当前面临估值压力或基本面不确定性。建议等待更明确的信号（业绩拐点、行业催化剂）后再做判断。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PE4364.6x虽高，若公司处于[]高景气赛道且增长确定性高，高估值可能被业绩消化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高换手率(10.5%)意味着市场关注度高，流动性充裕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PE4364.6x处于高位，估值回调风险是最大隐患——若业绩不及预期，可能面临杀估值+杀业绩双杀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PB6.96x偏高，需要持续较强的资本回报率来支撑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宏观经济波动可能影响东方材料的下游需求和盈利能力，系统性风险不可忽视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可比公司估值对照——对比[]内同体量上市公司的PE中位数和PB均值，判断东方材料的相对估值位置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