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中材节能（603126）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ROE≈1.6%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中材节能（603126）。所属行业为[]。总市值约43.5亿元，属中小型企业。主营业务围绕[]展开。PE约132.8倍，处于高估值成长区间。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中材节能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43.53亿元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中材节能所属[]行业。由于概念标签数据当前不可获取（Tushare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中材节能在[]领域运营。以下基于行业通用框架和公开信息进行分析。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从市值规模（43.5亿元）判断，公司属于[]行业的中小型企业。在这个定位下，公司竞争策略可能以差异化产品或细分市场深耕为主，而非全品类价格战。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由PE132.8倍和总市值43.5亿元推导，公司年化净利润约3300万。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上游：原材料供应商和设备制造商（具体取决于[]细分环节）。对于中材节能这类企业，关键原材料包括钢材、有色金属、电子元器件等基础工业品，采购来源相对分散。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推导年化净利润约3300万（=总市值43.5亿 ÷ PE132.8倍）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推导ROE约1.6%（=PB2.1 ÷ PE132.8）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中材节能所在赛道：[]。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132.8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2.13x也处于合理水平，ROE与PB水平基本匹配。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公司业绩超预期增长，若净利润增速&gt;30%则当前PE132.8x有望被快速消化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总市值43.5亿元，适中的规模意味着业绩弹性较大，一旦基本面改善，利润和估值双升弹性显著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高估值回调风险：PE132.8倍处于高估值区间，若业绩不及预期可能面临"戴维斯双杀"（估值+业绩双重下修），PE从132.8x回落至66x可能导致股价腰斩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中材节能当前面临估值压力或基本面不确定性。建议等待更明确的信号（业绩拐点、行业催化剂）后再做判断。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PE132.8x虽高，若公司处于[]高景气赛道且增长确定性高，高估值可能被业绩消化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PE132.8x处于高位，估值回调风险是最大隐患——若业绩不及预期，可能面临杀估值+杀业绩双杀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宏观经济波动可能影响中材节能的下游需求和盈利能力，系统性风险不可忽视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可比公司估值对照——对比[]内同体量上市公司的PE中位数和PB均值，判断中材节能的相对估值位置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