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云中马（603130）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ROE≈7.7% | 市值60亿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云中马（603130）。所属行业为[]。总市值约59.6亿元，属中型企业。主营业务围绕[]展开。PE约54.9倍，处于中等估值区间。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云中马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59.61亿元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云中马所属[]行业。由于概念标签数据当前不可获取（Tushare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云中马在[]领域运营。以下基于行业通用框架和公开信息进行分析。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从市值规模（59.6亿元）判断，公司属于[]行业的中型专业化企业。在这个定位下，公司竞争策略可能以差异化产品或细分市场深耕为主，而非全品类价格战。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由PE54.9倍和总市值59.6亿元推导，公司年化净利润约1.09亿。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若参考行业约7%的通用净利率水平，推导年营收约15.57亿。此为间接估算，准确数据请查阅公司最新年报。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上游：原材料供应商和设备制造商（具体取决于[]细分环节）。对于云中马这类企业，关键原材料包括钢材、有色金属、电子元器件等基础工业品，采购来源相对分散。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推导年化净利润约1.09亿（=总市值59.6亿 ÷ PE54.9倍）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推导ROE约7.7%（=PB4.2 ÷ PE54.9）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59.61亿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云中马所在赛道：[]。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54.9x处于中等偏高区间。PB 4.25x。核心矛盾在于未来2-3年净利润增速能否消化当前PE。以54.9x PE计算，若净利润年增长20%，3年后PE降至约31.7x；若仅增长10%，3年后PE约41.3x。投资者需结合行业增速和公司市场份额变化判断增速假设的合理性。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59.61亿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公司业绩超预期增长，若净利润增速&gt;30%则当前PE54.9x有望被快速消化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总市值59.6亿元，适中的规模意味着业绩弹性较大，一旦基本面改善，利润和估值双升弹性显著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估值压缩风险：PE54.9倍处于中等偏上，若市场情绪转向或行业景气度下行，估值可能压缩至20-25倍区间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PE54.9x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云中马当前面临估值压力或基本面不确定性。建议等待更明确的信号（业绩拐点、行业催化剂）后再做判断。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PE54.9x处于行业可接受范围，若净利润增速&gt;20%将形成合理估值支撑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市值60亿元处于中小市值区间，业绩弹性大，盈利改善对股价的传导效率高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PE54.9x存在估值压缩风险，若市场情绪转向或增长放缓，可能挤压至合理区间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宏观经济波动可能影响云中马的下游需求和盈利能力，系统性风险不可忽视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可比公司估值对照——对比[]内同体量上市公司的PE中位数和PB均值，判断云中马的相对估值位置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