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亚通精工（603190）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ROE≈5.6% | 市值32亿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亚通精工（603190）。所属行业为[]。总市值约31.5亿元，属中小型企业。主营业务围绕[]展开。PE约25.2倍，处于中等估值区间。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亚通精工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603190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31.52亿元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亚通精工所属[]行业。由于概念标签数据当前不可获取（Tushare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亚通精工在[]领域运营。以下基于行业通用框架和公开信息进行分析。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从市值规模（31.5亿元）判断，公司属于[]行业的中小型企业。在这个定位下，公司竞争策略可能以差异化产品或细分市场深耕为主，而非全品类价格战。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由PE25.2倍和总市值31.5亿元推导，公司年化净利润约1.25亿。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若参考行业约7%的通用净利率水平，推导年营收约17.86亿。此为间接估算，准确数据请查阅公司最新年报。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上游：原材料供应商和设备制造商（具体取决于[]细分环节）。对于亚通精工这类企业，关键原材料包括钢材、有色金属、电子元器件等基础工业品，采购来源相对分散。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推导年化净利润约1.25亿（=总市值31.5亿 ÷ PE25.2倍）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推导ROE约5.6%（=PB1.4 ÷ PE25.2）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31.52亿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25.2倍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1.40倍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2.81%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1.25亿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亚通精工所在赛道：[]。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25.2x、PB 1.40x处于行业中枢水平。估值的关键在于ROE（推导约5.6%）能否支撑当前PB，以及利润增速是否匹配PE水平。PE 25.2x隐含了约4.0%的盈利收益率期望。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25.2倍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1.40倍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31.52亿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2.81%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一般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公司业绩超预期增长，若净利润增速&gt;30%则当前PE25.2x有望被快速消化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总市值31.5亿元，适中的规模意味着业绩弹性较大，一旦基本面改善，利润和估值双升弹性显著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流动性风险：换手率2.81%，极端行情下可能出现流动性不足，大资金进出受限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PE25.2x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换手率2.8%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PB1.4x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21/35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综合评级：B级·推荐-B（21/35）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亚通精工具有一定投资价值，但存在局部短板。建议在理解风险的前提下适度关注。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估值优势：PE25.2x处于A股中等偏低水平，若业绩改善确认，估值修复空间明确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市值32亿元处于中小市值区间，业绩弹性大，盈利改善对股价的传导效率高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换手率2.8%偏低，在需要止损时可能面临流动性不足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宏观经济波动可能影响亚通精工的下游需求和盈利能力，系统性风险不可忽视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可比公司估值对照——对比[]内同体量上市公司的PE中位数和PB均值，判断亚通精工的相对估值位置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08:20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