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松发股份（603268）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ROE≈33.1% | 市值1420亿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松发股份（603268）。所属行业为[]。总市值约1420.2亿元，属大型企业。主营业务围绕[]展开。PE约40.6倍，处于中等估值区间。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松发股份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603268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1420.25亿元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松发股份所属[]行业。由于概念标签数据当前不可获取（Tushare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松发股份在[]领域运营。以下基于行业通用框架和公开信息进行分析。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从市值规模（1420.2亿元）判断，公司属于[]行业的大型平台型企业。在这个定位下，公司竞争策略可能以差异化产品或细分市场深耕为主，而非全品类价格战。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由PE40.6倍和总市值1420.2亿元推导，公司年化净利润约34.94亿。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若参考行业约7%的通用净利率水平，推导年营收约499.14亿。此为间接估算，准确数据请查阅公司最新年报。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上游：原材料供应商和设备制造商（具体取决于[]细分环节）。对于松发股份这类企业，关键原材料包括钢材、有色金属、电子元器件等基础工业品，采购来源相对分散。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推导年化净利润约34.94亿（=总市值1420.2亿 ÷ PE40.6倍）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推导ROE约33.1%（=PB13.5 ÷ PE40.6）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1420.25亿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40.6倍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13.47倍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3.64%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34.94亿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松发股份所在赛道：[]。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40.6x、PB 13.47x处于行业中枢水平。估值的关键在于ROE（推导约33.1%）能否支撑当前PB，以及利润增速是否匹配PE水平。PE 40.6x隐含了约2.5%的盈利收益率期望。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40.6倍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13.47倍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1420.25亿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3.64%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优秀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公司业绩超预期增长，若净利润增速&gt;30%则当前PE40.6x有望被快速消化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总市值1420.2亿元，适中的规模意味着业绩弹性较大，一旦基本面改善，利润和估值双升弹性显著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估值压缩风险：PE40.6倍处于中等偏上，若市场情绪转向或行业景气度下行，估值可能压缩至20-25倍区间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流动性风险：换手率3.64%，极端行情下可能出现流动性不足，大资金进出受限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高PB风险：PB13.47x需要高ROE支撑，若ROE下滑PB将面临均值回归压力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PE40.6x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换手率3.6%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PB13.5x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16/35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综合评级：C级·中性（16/35）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松发股份当前面临估值压力或基本面不确定性。建议等待更明确的信号（业绩拐点、行业催化剂）后再做判断。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PE40.6x处于行业可接受范围，若净利润增速&gt;20%将形成合理估值支撑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ROE33.1%处于良好水平，显示公司资本运用效率较高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PE40.6x存在估值压缩风险，若市场情绪转向或增长放缓，可能挤压至合理区间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PB13.47x需要极强ROE支撑，若ROE无法持续&gt;20%，PB将面临均值回归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宏观经济波动可能影响松发股份的下游需求和盈利能力，系统性风险不可忽视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可比公司估值对照——对比[]内同体量上市公司的PE中位数和PB均值，判断松发股份的相对估值位置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08:21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