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南方路机（603280）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ROE≈6.9%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南方路机（603280）。所属行业为[]。总市值约29.5亿元，属中小型企业。主营业务围绕[]展开。PE约31.0倍，处于中等估值区间。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南方路机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603280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29.49亿元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南方路机所属[]行业。由于概念标签数据当前不可获取（Tushare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南方路机在[]领域运营。以下基于行业通用框架和公开信息进行分析。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从市值规模（29.5亿元）判断，公司属于[]行业的中小型企业。在这个定位下，公司竞争策略可能以差异化产品或细分市场深耕为主，而非全品类价格战。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由PE31.0倍和总市值29.5亿元推导，公司年化净利润约9500万。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若参考行业约7%的通用净利率水平，推导年营收约13.57亿。此为间接估算，准确数据请查阅公司最新年报。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上游：原材料供应商和设备制造商（具体取决于[]细分环节）。对于南方路机这类企业，关键原材料包括钢材、有色金属、电子元器件等基础工业品，采购来源相对分散。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推导年化净利润约9500万（=总市值29.5亿 ÷ PE31.0倍）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推导ROE约6.9%（=PB2.1 ÷ PE31.0）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南方路机所在赛道：[]。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31.0x、PB 2.13x处于行业中枢水平。估值的关键在于ROE（推导约6.9%）能否支撑当前PB，以及利润增速是否匹配PE水平。PE 31.0x隐含了约3.2%的盈利收益率期望。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公司业绩超预期增长，若净利润增速&gt;30%则当前PE31.0x有望被快速消化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总市值29.5亿元，适中的规模意味着业绩弹性较大，一旦基本面改善，利润和估值双升弹性显著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估值压缩风险：PE31.0倍处于中等偏上，若市场情绪转向或行业景气度下行，估值可能压缩至20-25倍区间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南方路机具有一定投资价值，但存在局部短板。建议在理解风险的前提下适度关注。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PE31.0x处于行业可接受范围，若净利润增速&gt;20%将形成合理估值支撑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宏观经济波动可能影响南方路机的下游需求和盈利能力，系统性风险不可忽视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可比公司估值对照——对比[]内同体量上市公司的PE中位数和PB均值，判断南方路机的相对估值位置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