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迪生力（603335）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ROE≈18.2% | 市值35亿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迪生力（603335）。所属行业为[]。总市值约35.2亿元，属中小型企业。主营业务围绕[]展开。PE约68.6倍，处于高估值成长区间。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迪生力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603335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35.19亿元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迪生力所属[]行业。由于概念标签数据当前不可获取（Tushare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迪生力在[]领域运营。以下基于行业通用框架和公开信息进行分析。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从市值规模（35.2亿元）判断，公司属于[]行业的中小型企业。在这个定位下，公司竞争策略可能以差异化产品或细分市场深耕为主，而非全品类价格战。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由PE68.6倍和总市值35.2亿元推导，公司年化净利润约5100万。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若参考行业约7%的通用净利率水平，推导年营收约7.29亿。此为间接估算，准确数据请查阅公司最新年报。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上游：原材料供应商和设备制造商（具体取决于[]细分环节）。对于迪生力这类企业，关键原材料包括钢材、有色金属、电子元器件等基础工业品，采购来源相对分散。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推导年化净利润约5100万（=总市值35.2亿 ÷ PE68.6倍）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推导ROE约18.2%（=PB12.5 ÷ PE68.6）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35.19亿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68.6倍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12.47倍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21.45%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5100万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迪生力所在赛道：[]。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68.6x处于中等偏高区间。PB 12.47x。核心矛盾在于未来2-3年净利润增速能否消化当前PE。以68.6x PE计算，若净利润年增长20%，3年后PE降至约39.7x；若仅增长10%，3年后PE约51.6x。投资者需结合行业增速和公司市场份额变化判断增速假设的合理性。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68.6倍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12.47倍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35.19亿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21.45%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活跃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公司业绩超预期增长，若净利润增速&gt;30%则当前PE68.6x有望被快速消化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总市值35.2亿元，适中的规模意味着业绩弹性较大，一旦基本面改善，利润和估值双升弹性显著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高估值回调风险：PE68.6倍处于高估值区间，若业绩不及预期可能面临"戴维斯双杀"（估值+业绩双重下修），PE从68.6x回落至34x可能导致股价腰斩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换手率21.45%偏高，短线博弈资金占比大，价格波动可能加剧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高PB风险：PB12.47x需要高ROE支撑，若ROE下滑PB将面临均值回归压力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PE68.6x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PB12.5x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迪生力当前面临估值压力或基本面不确定性。建议等待更明确的信号（业绩拐点、行业催化剂）后再做判断。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PE68.6x虽高，若公司处于[]高景气赛道且增长确定性高，高估值可能被业绩消化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ROE18.2%处于良好水平，显示公司资本运用效率较高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市值35亿元处于中小市值区间，业绩弹性大，盈利改善对股价的传导效率高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高换手率(21.4%)意味着市场关注度高，流动性充裕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PE68.6x处于高位，估值回调风险是最大隐患——若业绩不及预期，可能面临杀估值+杀业绩双杀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PB12.47x需要极强ROE支撑，若ROE无法持续&gt;20%，PB将面临均值回归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宏观经济波动可能影响迪生力的下游需求和盈利能力，系统性风险不可忽视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可比公司估值对照——对比[]内同体量上市公司的PE中位数和PB均值，判断迪生力的相对估值位置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