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金辰股份（603396）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ROE≈2.1% | 市值39亿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金辰股份（603396）。所属行业为[]。总市值约39.2亿元，属中小型企业。主营业务围绕[]展开。PE约72.3倍，处于高估值成长区间。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金辰股份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603396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39.18亿元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金辰股份所属[]行业。由于概念标签数据当前不可获取（Tushare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金辰股份在[]领域运营。以下基于行业通用框架和公开信息进行分析。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从市值规模（39.2亿元）判断，公司属于[]行业的中小型企业。在这个定位下，公司竞争策略可能以差异化产品或细分市场深耕为主，而非全品类价格战。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由PE72.3倍和总市值39.2亿元推导，公司年化净利润约5400万。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若参考行业约7%的通用净利率水平，推导年营收约7.71亿。此为间接估算，准确数据请查阅公司最新年报。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上游：原材料供应商和设备制造商（具体取决于[]细分环节）。对于金辰股份这类企业，关键原材料包括钢材、有色金属、电子元器件等基础工业品，采购来源相对分散。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推导年化净利润约5400万（=总市值39.2亿 ÷ PE72.3倍）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推导ROE约2.1%（=PB1.5 ÷ PE72.3）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39.18亿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72.3倍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5400万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金辰股份所在赛道：[]。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72.3x处于中等偏高区间。PB 1.51x。核心矛盾在于未来2-3年净利润增速能否消化当前PE。以72.3x PE计算，若净利润年增长20%，3年后PE降至约41.8x；若仅增长10%，3年后PE约54.3x。投资者需结合行业增速和公司市场份额变化判断增速假设的合理性。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72.3倍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39.18亿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公司业绩超预期增长，若净利润增速&gt;30%则当前PE72.3x有望被快速消化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总市值39.2亿元，适中的规模意味着业绩弹性较大，一旦基本面改善，利润和估值双升弹性显著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高估值回调风险：PE72.3倍处于高估值区间，若业绩不及预期可能面临"戴维斯双杀"（估值+业绩双重下修），PE从72.3x回落至36x可能导致股价腰斩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流动性风险：换手率2.05%，极端行情下可能出现流动性不足，大资金进出受限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PE72.3x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金辰股份当前面临估值压力或基本面不确定性。建议等待更明确的信号（业绩拐点、行业催化剂）后再做判断。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PE72.3x虽高，若公司处于[]高景气赛道且增长确定性高，高估值可能被业绩消化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市值39亿元处于中小市值区间，业绩弹性大，盈利改善对股价的传导效率高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PE72.3x处于高位，估值回调风险是最大隐患——若业绩不及预期，可能面临杀估值+杀业绩双杀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宏观经济波动可能影响金辰股份的下游需求和盈利能力，系统性风险不可忽视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可比公司估值对照——对比[]内同体量上市公司的PE中位数和PB均值，判断金辰股份的相对估值位置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