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引力传媒（603598）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ROE≈8.9% | 市值52亿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引力传媒（603598）。所属行业为[]。总市值约51.9亿元，属中型企业。主营业务围绕[]展开。PE约259.9倍，处于高估值成长区间。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引力传媒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603598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51.91亿元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引力传媒所属[]行业。由于概念标签数据当前不可获取（Tushare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引力传媒在[]领域运营。以下基于行业通用框架和公开信息进行分析。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从市值规模（51.9亿元）判断，公司属于[]行业的中型专业化企业。在这个定位下，公司竞争策略可能以差异化产品或细分市场深耕为主，而非全品类价格战。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由PE259.9倍和总市值51.9亿元推导，公司年化净利润约2000万。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上游：原材料供应商和设备制造商（具体取决于[]细分环节）。对于引力传媒这类企业，关键原材料包括钢材、有色金属、电子元器件等基础工业品，采购来源相对分散。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推导年化净利润约2000万（=总市值51.9亿 ÷ PE259.9倍）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推导ROE约8.9%（=PB23.2 ÷ PE259.9）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259.9倍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23.23倍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引力传媒所在赛道：[]。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259.9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23.23x也处于偏高水平，若ROE不能持续维持在&gt;69%的水平，PB难以维持当前高位。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259.9倍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23.23倍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公司业绩超预期增长，若净利润增速&gt;30%则当前PE259.9x有望被快速消化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总市值51.9亿元，适中的规模意味着业绩弹性较大，一旦基本面改善，利润和估值双升弹性显著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高估值回调风险：PE259.9倍处于高估值区间，若业绩不及预期可能面临"戴维斯双杀"（估值+业绩双重下修），PE从259.9x回落至130x可能导致股价腰斩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换手率5.14%适中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高PB风险：PB23.23x需要高ROE支撑，若ROE下滑PB将面临均值回归压力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PE259.9x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引力传媒当前面临较多不确定性，且数据支撑不足。建议以外围观察为主，不急于参与。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PE259.9x虽高，若公司处于[]高景气赛道且增长确定性高，高估值可能被业绩消化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PE259.9x处于高位，估值回调风险是最大隐患——若业绩不及预期，可能面临杀估值+杀业绩双杀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PB23.23x需要极强ROE支撑，若ROE无法持续&gt;20%，PB将面临均值回归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宏观经济波动可能影响引力传媒的下游需求和盈利能力，系统性风险不可忽视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可比公司估值对照——对比[]内同体量上市公司的PE中位数和PB均值，判断引力传媒的相对估值位置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