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京华激光（603607）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ROE≈10.9%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京华激光（603607）。所属行业为[]。总市值约35.2亿元，属中小型企业。主营业务围绕[]展开。PE约32.9倍，处于中等估值区间。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京华激光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603607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京华激光所属[]行业。由于概念标签数据当前不可获取（Tushare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京华激光在[]领域运营。以下基于行业通用框架和公开信息进行分析。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由PE32.9倍和总市值35.2亿元推导，公司年化净利润约1.07亿。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若参考行业约7%的通用净利率水平，推导年营收约15.29亿。此为间接估算，准确数据请查阅公司最新年报。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上游：原材料供应商和设备制造商（具体取决于[]细分环节）。对于京华激光这类企业，关键原材料包括钢材、有色金属、电子元器件等基础工业品，采购来源相对分散。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推导年化净利润约1.07亿（=总市值35.2亿 ÷ PE32.9倍）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推导ROE约10.9%（=PB3.6 ÷ PE32.9）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京华激光所在赛道：[]。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32.9x、PB 3.59x处于行业中枢水平。估值的关键在于ROE（推导约10.9%）能否支撑当前PB，以及利润增速是否匹配PE水平。PE 32.9x隐含了约3.0%的盈利收益率期望。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公司业绩超预期增长，若净利润增速&gt;30%则当前PE32.9x有望被快速消化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估值压缩风险：PE32.9倍处于中等偏上，若市场情绪转向或行业景气度下行，估值可能压缩至20-25倍区间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流动性风险：换手率2.60%，极端行情下可能出现流动性不足，大资金进出受限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京华激光具有一定投资价值，但存在局部短板。建议在理解风险的前提下适度关注。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PE32.9x处于行业可接受范围，若净利润增速&gt;20%将形成合理估值支撑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ROE10.9%处于良好水平，显示公司资本运用效率较高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宏观经济波动可能影响京华激光的下游需求和盈利能力，系统性风险不可忽视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可比公司估值对照——对比[]内同体量上市公司的PE中位数和PB均值，判断京华激光的相对估值位置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