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香飘飘（603711）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ROE≈5.8% | 市值51亿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香飘飘（603711）。所属行业为[]。总市值约50.9亿元，属中型企业。主营业务围绕[]展开。PE约24.5倍，处于低估值区间。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香飘飘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603711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香飘飘所属[]行业。由于概念标签数据当前不可获取（Tushare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香飘飘在[]领域运营。以下基于行业通用框架和公开信息进行分析。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从市值规模（50.9亿元）判断，公司属于[]行业的中型专业化企业。在这个定位下，公司竞争策略可能以差异化产品或细分市场深耕为主，而非全品类价格战。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由PE24.5倍和总市值50.9亿元推导，公司年化净利润约2.07亿。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若参考行业约7%的通用净利率水平，推导年营收约29.57亿。此为间接估算，准确数据请查阅公司最新年报。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上游：原材料供应商和设备制造商（具体取决于[]细分环节）。对于香飘飘这类企业，关键原材料包括钢材、有色金属、电子元器件等基础工业品，采购来源相对分散。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推导年化净利润约2.07亿（=总市值50.9亿 ÷ PE24.5倍）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推导ROE约5.8%（=PB1.4 ÷ PE24.5）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香飘飘所在赛道：[]。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24.5x处于低估值区间，PB 1.42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总市值50.9亿元，适中的规模意味着业绩弹性较大，一旦基本面改善，利润和估值双升弹性显著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香飘飘具有一定投资价值，但存在局部短板。建议在理解风险的前提下适度关注。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宏观经济波动可能影响香飘飘的下游需求和盈利能力，系统性风险不可忽视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可比公司估值对照——对比[]内同体量上市公司的PE中位数和PB均值，判断香飘飘的相对估值位置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