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丽岛新材（603937）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ROE≈0.2%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丽岛新材（603937）。所属行业为[]。总市值约27.6亿元，属中小型企业。主营业务围绕[]展开。PE约1183.8倍，处于高估值成长区间。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丽岛新材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603937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丽岛新材所属[]行业。由于概念标签数据当前不可获取（Tushare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丽岛新材在[]领域运营。以下基于行业通用框架和公开信息进行分析。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由PE1183.8倍和总市值27.6亿元推导，公司年化净利润约200万。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若参考行业约7%的通用净利率水平，推导年营收约2857万。此为间接估算，准确数据请查阅公司最新年报。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上游：原材料供应商和设备制造商（具体取决于[]细分环节）。对于丽岛新材这类企业，关键原材料包括钢材、有色金属、电子元器件等基础工业品，采购来源相对分散。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推导年化净利润约200万（=总市值27.6亿 ÷ PE1183.8倍）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推导ROE约0.2%（=PB1.8 ÷ PE1183.8）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1183.8倍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丽岛新材所在赛道：[]。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1183.8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1.78x也处于合理水平，ROE与PB水平基本匹配。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1183.8倍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公司业绩超预期增长，若净利润增速&gt;30%则当前PE1183.8x有望被快速消化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高估值回调风险：PE1183.8倍处于高估值区间，若业绩不及预期可能面临"戴维斯双杀"（估值+业绩双重下修），PE从1183.8x回落至592x可能导致股价腰斩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PE1183.8x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丽岛新材当前面临估值压力或基本面不确定性。建议等待更明确的信号（业绩拐点、行业催化剂）后再做判断。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PE1183.8x虽高，若公司处于[]高景气赛道且增长确定性高，高估值可能被业绩消化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PE1183.8x处于高位，估值回调风险是最大隐患——若业绩不及预期，可能面临杀估值+杀业绩双杀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宏观经济波动可能影响丽岛新材的下游需求和盈利能力，系统性风险不可忽视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可比公司估值对照——对比[]内同体量上市公司的PE中位数和PB均值，判断丽岛新材的相对估值位置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