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雪龙集团（603949）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ROE≈9.0% | 市值34亿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雪龙集团（603949）。所属行业为[]。总市值约33.8亿元，属中小型企业。主营业务围绕[]展开。PE约35.3倍，处于中等估值区间。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雪龙集团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603949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33.78亿元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雪龙集团所属[]行业。由于概念标签数据当前不可获取（Tushare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雪龙集团在[]领域运营。以下基于行业通用框架和公开信息进行分析。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从市值规模（33.8亿元）判断，公司属于[]行业的中小型企业。在这个定位下，公司竞争策略可能以差异化产品或细分市场深耕为主，而非全品类价格战。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由PE35.3倍和总市值33.8亿元推导，公司年化净利润约9600万。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若参考行业约7%的通用净利率水平，推导年营收约13.71亿。此为间接估算，准确数据请查阅公司最新年报。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上游：原材料供应商和设备制造商（具体取决于[]细分环节）。对于雪龙集团这类企业，关键原材料包括钢材、有色金属、电子元器件等基础工业品，采购来源相对分散。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推导年化净利润约9600万（=总市值33.8亿 ÷ PE35.3倍）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推导ROE约9.0%（=PB3.2 ÷ PE35.3）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33.78亿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9600万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雪龙集团所在赛道：[]。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35.3x、PB 3.19x处于行业中枢水平。估值的关键在于ROE（推导约9.0%）能否支撑当前PB，以及利润增速是否匹配PE水平。PE 35.3x隐含了约2.8%的盈利收益率期望。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33.78亿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公司业绩超预期增长，若净利润增速&gt;30%则当前PE35.3x有望被快速消化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总市值33.8亿元，适中的规模意味着业绩弹性较大，一旦基本面改善，利润和估值双升弹性显著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估值压缩风险：PE35.3倍处于中等偏上，若市场情绪转向或行业景气度下行，估值可能压缩至20-25倍区间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流动性风险：换手率1.85%，极端行情下可能出现流动性不足，大资金进出受限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PE35.3x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雪龙集团具有一定投资价值，但存在局部短板。建议在理解风险的前提下适度关注。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PE35.3x处于行业可接受范围，若净利润增速&gt;20%将形成合理估值支撑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宏观经济波动可能影响雪龙集团的下游需求和盈利能力，系统性风险不可忽视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可比公司估值对照——对比[]内同体量上市公司的PE中位数和PB均值，判断雪龙集团的相对估值位置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