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领先股份（603991）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ROE≈0.5% | 市值198亿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领先股份（603991）。所属行业为[]。总市值约198.1亿元，属中大型企业。主营业务围绕[]展开。PE约1065.0倍，处于高估值成长区间。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领先股份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603991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198.05亿元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领先股份所属[]行业。由于概念标签数据当前不可获取（Tushare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领先股份在[]领域运营。以下基于行业通用框架和公开信息进行分析。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从市值规模（198.1亿元）判断，公司属于[]行业的中大型企业。在这个定位下，公司竞争策略可能以差异化产品或细分市场深耕为主，而非全品类价格战。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由PE1065.0倍和总市值198.1亿元推导，公司年化净利润约1900万。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上游：原材料供应商和设备制造商（具体取决于[]细分环节）。对于领先股份这类企业，关键原材料包括钢材、有色金属、电子元器件等基础工业品，采购来源相对分散。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推导年化净利润约1900万（=总市值198.1亿 ÷ PE1065.0倍）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推导ROE约0.5%（=PB5.6 ÷ PE1065.0）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198.05亿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1065.0倍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5.63倍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10.19%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领先股份所在赛道：[]。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1065.0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5.63x也处于中等偏高水平，若ROE不能持续维持在&gt;16%的水平，PB难以维持当前高位。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1065.0倍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5.63倍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198.05亿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10.19%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活跃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公司业绩超预期增长，若净利润增速&gt;30%则当前PE1065.0x有望被快速消化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总市值198.1亿元，适中的规模意味着业绩弹性较大，一旦基本面改善，利润和估值双升弹性显著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高估值回调风险：PE1065.0倍处于高估值区间，若业绩不及预期可能面临"戴维斯双杀"（估值+业绩双重下修），PE从1065.0x回落至533x可能导致股价腰斩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换手率10.19%偏高，短线博弈资金占比大，价格波动可能加剧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高PB风险：PB5.63x需要高ROE支撑，若ROE下滑PB将面临均值回归压力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PE1065.0x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换手率10.2%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领先股份当前面临估值压力或基本面不确定性。建议等待更明确的信号（业绩拐点、行业催化剂）后再做判断。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PE1065.0x虽高，若公司处于[]高景气赛道且增长确定性高，高估值可能被业绩消化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市值198亿元处于中小市值区间，业绩弹性大，盈利改善对股价的传导效率高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高换手率(10.2%)意味着市场关注度高，流动性充裕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PE1065.0x处于高位，估值回调风险是最大隐患——若业绩不及预期，可能面临杀估值+杀业绩双杀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PB5.63x偏高，需要持续较强的资本回报率来支撑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宏观经济波动可能影响领先股份的下游需求和盈利能力，系统性风险不可忽视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可比公司估值对照——对比[]内同体量上市公司的PE中位数和PB均值，判断领先股份的相对估值位置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