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味知香（605089）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ROE≈5.7% | 市值30亿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味知香（605089）。所属行业为[]。总市值约29.7亿元，属中小型企业。主营业务围绕[]展开。PE约41.3倍，处于中等估值区间。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味知香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605089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29.74亿元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味知香所属[]行业。由于概念标签数据当前不可获取（Tushare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味知香在[]领域运营。以下基于行业通用框架和公开信息进行分析。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从市值规模（29.7亿元）判断，公司属于[]行业的中小型企业。在这个定位下，公司竞争策略可能以差异化产品或细分市场深耕为主，而非全品类价格战。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由PE41.3倍和总市值29.7亿元推导，公司年化净利润约7200万。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若参考行业约7%的通用净利率水平，推导年营收约10.29亿。此为间接估算，准确数据请查阅公司最新年报。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上游：原材料供应商和设备制造商（具体取决于[]细分环节）。对于味知香这类企业，关键原材料包括钢材、有色金属、电子元器件等基础工业品，采购来源相对分散。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推导年化净利润约7200万（=总市值29.7亿 ÷ PE41.3倍）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推导ROE约5.7%（=PB2.4 ÷ PE41.3）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29.74亿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41.3倍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2.35倍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7200万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味知香所在赛道：[]。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41.3x、PB 2.35x处于行业中枢水平。估值的关键在于ROE（推导约5.7%）能否支撑当前PB，以及利润增速是否匹配PE水平。PE 41.3x隐含了约2.4%的盈利收益率期望。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41.3倍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2.35倍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29.74亿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公司业绩超预期增长，若净利润增速&gt;30%则当前PE41.3x有望被快速消化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总市值29.7亿元，适中的规模意味着业绩弹性较大，一旦基本面改善，利润和估值双升弹性显著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估值压缩风险：PE41.3倍处于中等偏上，若市场情绪转向或行业景气度下行，估值可能压缩至20-25倍区间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流动性风险：换手率1.29%，极端行情下可能出现流动性不足，大资金进出受限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PE41.3x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换手率1.3%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20/35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综合评级：B级·推荐-B（20/35）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味知香具有一定投资价值，但存在局部短板。建议在理解风险的前提下适度关注。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PE41.3x处于行业可接受范围，若净利润增速&gt;20%将形成合理估值支撑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PE41.3x存在估值压缩风险，若市场情绪转向或增长放缓，可能挤压至合理区间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换手率1.3%偏低，在需要止损时可能面临流动性不足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宏观经济波动可能影响味知香的下游需求和盈利能力，系统性风险不可忽视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可比公司估值对照——对比[]内同体量上市公司的PE中位数和PB均值，判断味知香的相对估值位置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08:26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