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富春染织（605189）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ROE≈7.6% | 市值32亿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富春染织（605189）。所属行业为[]。总市值约32.0亿元，属中小型企业。主营业务围绕[]展开。PE约22.1倍，处于低估值区间。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富春染织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605189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富春染织所属[]行业。由于概念标签数据当前不可获取（Tushare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富春染织在[]领域运营。以下基于行业通用框架和公开信息进行分析。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从市值规模（32.0亿元）判断，公司属于[]行业的中小型企业。在这个定位下，公司竞争策略可能以差异化产品或细分市场深耕为主，而非全品类价格战。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由PE22.1倍和总市值32.0亿元推导，公司年化净利润约1.45亿。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上游：原材料供应商和设备制造商（具体取决于[]细分环节）。对于富春染织这类企业，关键原材料包括钢材、有色金属、电子元器件等基础工业品，采购来源相对分散。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推导年化净利润约1.45亿（=总市值32.0亿 ÷ PE22.1倍）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推导ROE约7.6%（=PB1.7 ÷ PE22.1）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富春染织所在赛道：[]。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22.1x处于低估值区间，PB 1.68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32.04亿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公司业绩超预期增长，若净利润增速&gt;30%则当前PE22.1x有望被快速消化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富春染织具有一定投资价值，但存在局部短板。建议在理解风险的前提下适度关注。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估值优势：PE22.1x处于A股中等偏低水平，若业绩改善确认，估值修复空间明确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宏观经济波动可能影响富春染织的下游需求和盈利能力，系统性风险不可忽视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可比公司估值对照——对比[]内同体量上市公司的PE中位数和PB均值，判断富春染织的相对估值位置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