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东鹏饮料（605499）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ROE≈24.6% | 市值885亿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东鹏饮料（605499）。所属行业为[]。总市值约885.4亿元，属大型企业。主营业务围绕[]展开。PE约18.9倍，处于低估值区间。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东鹏饮料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605499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885.44亿元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东鹏饮料所属[]行业。由于概念标签数据当前不可获取（Tushare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东鹏饮料在[]领域运营。以下基于行业通用框架和公开信息进行分析。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从市值规模（885.4亿元）判断，公司属于[]行业的大型平台型企业。在这个定位下，公司竞争策略可能以差异化产品或细分市场深耕为主，而非全品类价格战。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由PE18.9倍和总市值885.4亿元推导，公司年化净利润约46.92亿。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若参考行业约7%的通用净利率水平，推导年营收约670.29亿。此为间接估算，准确数据请查阅公司最新年报。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上游：原材料供应商和设备制造商（具体取决于[]细分环节）。对于东鹏饮料这类企业，关键原材料包括钢材、有色金属、电子元器件等基础工业品，采购来源相对分散。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推导年化净利润约46.92亿（=总市值885.4亿 ÷ PE18.9倍）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推导ROE约24.6%（=PB4.7 ÷ PE18.9）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885.44亿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4.65倍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46.92亿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东鹏饮料所在赛道：[]。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18.9x处于低估值区间，PB 4.65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4.65倍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885.44亿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优秀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公司业绩超预期增长，若净利润增速&gt;30%则当前PE18.9x有望被快速消化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总市值885.4亿元，适中的规模意味着业绩弹性较大，一旦基本面改善，利润和估值双升弹性显著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流动性风险：换手率1.17%，极端行情下可能出现流动性不足，大资金进出受限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PE18.9x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PB4.7x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东鹏饮料具有一定投资价值，但存在局部短板。建议在理解风险的前提下适度关注。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估值优势：PE18.9x处于A股中等偏低水平，若业绩改善确认，估值修复空间明确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ROE24.6%处于良好水平，显示公司资本运用效率较高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换手率1.2%偏低，在需要止损时可能面临流动性不足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宏观经济波动可能影响东鹏饮料的下游需求和盈利能力，系统性风险不可忽视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可比公司估值对照——对比[]内同体量上市公司的PE中位数和PB均值，判断东鹏饮料的相对估值位置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