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木材年轮与缺陷多任务项目：论文级数据工程报告</w:t>
      </w:r>
    </w:p>
    <w:p>
      <w:pPr>
        <w:spacing w:after="100"/>
      </w:pPr>
      <w:r>
        <w:t>报告日期：2026-08-06</w:t>
      </w:r>
    </w:p>
    <w:p>
      <w:pPr>
        <w:pStyle w:val="Heading1"/>
      </w:pPr>
      <w:r>
        <w:t>1. 结论</w:t>
      </w:r>
    </w:p>
    <w:p>
      <w:pPr>
        <w:spacing w:after="100"/>
      </w:pPr>
      <w:r>
        <w:t>最终统一清单包含 36,747 张图像：主监督数据 21,346 张，辅助数据 15,401 张。清单质量状态和派生产物完整性状态均为 ok。</w:t>
      </w:r>
    </w:p>
    <w:p>
      <w:pPr>
        <w:spacing w:after="100"/>
      </w:pPr>
      <w:r>
        <w:t>源数据只读验证通过：处理前后元数据指纹均为 31ca6e3d670e8e18ad843677a096bb8a331aead36a98827c49d1a0e102129ad3，变化数据集 0，关键标注内容变化 0，缺失文件 0。所有新增和修改只发生在 wood-multitask-final。</w:t>
      </w:r>
    </w:p>
    <w:p>
      <w:pPr>
        <w:spacing w:after="100"/>
      </w:pPr>
      <w:r>
        <w:t>当前数据工程已满足年轮结构、缺陷实例、分类裁剪和双标注桥接四类监督的统一读取要求。模型尚未在本工程上完成正式训练，因此本报告不声称年轮与缺陷已经呈现双向正迁移；第 10 节给出可证伪的论文实验协议。</w:t>
      </w:r>
    </w:p>
    <w:p>
      <w:pPr>
        <w:pStyle w:val="Heading1"/>
      </w:pPr>
      <w:r>
        <w:t>2. 标签与监督策略</w:t>
      </w:r>
    </w:p>
    <w:p>
      <w:pPr>
        <w:pStyle w:val="ListBullet"/>
      </w:pPr>
      <w:r>
        <w:t>缺陷检测仅保留 knot 和独立 crack 两类；检测头含背景时输出通道为 3，YOLO 类别编号为 knot=0、crack=1。</w:t>
      </w:r>
    </w:p>
    <w:p>
      <w:pPr>
        <w:pStyle w:val="ListBullet"/>
      </w:pPr>
      <w:r>
        <w:t>knot_with_crack 只映射为 knot，亚型记录为 cracked，绝不进入 crack 真值。</w:t>
      </w:r>
    </w:p>
    <w:p>
      <w:pPr>
        <w:pStyle w:val="ListBullet"/>
      </w:pPr>
      <w:r>
        <w:t>Marrow、overgrown、Quartzity、Blue_stain、resin 不作为目标类别。VSB 中这些标注被排除；OULU/Mokume 的非目标区域保留为 ignore，不被解释为正常背景。</w:t>
      </w:r>
    </w:p>
    <w:p>
      <w:pPr>
        <w:pStyle w:val="ListBullet"/>
      </w:pPr>
      <w:r>
        <w:t>分类任务为 normal/knot/crack。normal 仅来自已核验负样本；标签缺失始终通过 task mask 隔离。</w:t>
      </w:r>
    </w:p>
    <w:p>
      <w:pPr>
        <w:pStyle w:val="ListBullet"/>
      </w:pPr>
      <w:r>
        <w:t>Mokume 保留矩形标注，UruDendro 保留真实多边形。年轮标注没有因缺陷矩形化而改动。</w:t>
      </w:r>
    </w:p>
    <w:p>
      <w:pPr>
        <w:spacing w:after="100"/>
      </w:pPr>
      <w:r>
        <w:t>原始项目文档中的 VSB 20,276 张和 6 类缺陷统计属于旧方案。本版本以已确认的 VSB 16,000 张、两类监督策略为准，并重新生成全部统计。</w:t>
      </w:r>
    </w:p>
    <w:p>
      <w:pPr>
        <w:pStyle w:val="Heading1"/>
      </w:pPr>
      <w:r>
        <w:t>3. 数据集登记与角色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95"/>
        <w:gridCol w:w="1095"/>
        <w:gridCol w:w="1095"/>
        <w:gridCol w:w="1095"/>
        <w:gridCol w:w="1095"/>
        <w:gridCol w:w="1095"/>
        <w:gridCol w:w="1095"/>
        <w:gridCol w:w="1095"/>
        <w:gridCol w:w="1095"/>
      </w:tblGrid>
      <w:tr>
        <w:tc>
          <w:tcPr>
            <w:tcW w:type="dxa" w:w="1095"/>
            <w:shd w:fill="D9EA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数据集</w:t>
            </w:r>
          </w:p>
        </w:tc>
        <w:tc>
          <w:tcPr>
            <w:tcW w:type="dxa" w:w="1095"/>
            <w:shd w:fill="D9EA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协议角色</w:t>
            </w:r>
          </w:p>
        </w:tc>
        <w:tc>
          <w:tcPr>
            <w:tcW w:type="dxa" w:w="1095"/>
            <w:shd w:fill="D9EA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图像</w:t>
            </w:r>
          </w:p>
        </w:tc>
        <w:tc>
          <w:tcPr>
            <w:tcW w:type="dxa" w:w="1095"/>
            <w:shd w:fill="D9EA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物理组</w:t>
            </w:r>
          </w:p>
        </w:tc>
        <w:tc>
          <w:tcPr>
            <w:tcW w:type="dxa" w:w="1095"/>
            <w:shd w:fill="D9EA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划分</w:t>
            </w:r>
          </w:p>
        </w:tc>
        <w:tc>
          <w:tcPr>
            <w:tcW w:type="dxa" w:w="1095"/>
            <w:shd w:fill="D9EA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年轮</w:t>
            </w:r>
          </w:p>
        </w:tc>
        <w:tc>
          <w:tcPr>
            <w:tcW w:type="dxa" w:w="1095"/>
            <w:shd w:fill="D9EA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缺陷已标注</w:t>
            </w:r>
          </w:p>
        </w:tc>
        <w:tc>
          <w:tcPr>
            <w:tcW w:type="dxa" w:w="1095"/>
            <w:shd w:fill="D9EA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目标实例</w:t>
            </w:r>
          </w:p>
        </w:tc>
        <w:tc>
          <w:tcPr>
            <w:tcW w:type="dxa" w:w="1095"/>
            <w:shd w:fill="D9EA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忽略实例</w:t>
            </w:r>
          </w:p>
        </w:tc>
      </w:tr>
      <w:tr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urudendro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primary ring and bridge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64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14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test=15, train=38, val=11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64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64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802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</w:tr>
      <w:tr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urudendro2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primary ring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54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18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train=42, val=12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54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</w:tr>
      <w:tr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urudendro4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external ring test and five-fold R2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102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21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external_test=102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102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</w:tr>
      <w:tr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mokume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primary ring and bridge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1140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190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test=186, train=774, val=180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1140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258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167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</w:tr>
      <w:tr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vsb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primary defect train/validation/test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16000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10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test=4000, train=10000, val=2000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16000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30474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4574</w:t>
            </w:r>
          </w:p>
        </w:tc>
      </w:tr>
      <w:tr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vnwoodknot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external defect test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1515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1515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external_test=1515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1515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1021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</w:tr>
      <w:tr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indiana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external ring test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1632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136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external_test=1632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1466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</w:tr>
      <w:tr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oulu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external defect test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839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839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external_test=839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839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1431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673</w:t>
            </w:r>
          </w:p>
        </w:tc>
      </w:tr>
      <w:tr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wvtec_wood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auxiliary external anomaly evaluation only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326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326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aux_train_reference=247, external_anomaly_test=79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</w:tr>
      <w:tr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coating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auxiliary stress test only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15075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335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auxiliary_stress=15075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</w:tr>
      <w:tr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miscs_code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excluded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09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</w:tr>
    </w:tbl>
    <w:p>
      <w:pPr>
        <w:spacing w:after="100"/>
      </w:pPr>
      <w:r>
        <w:t>WVTec Wood 仅用于外部异常评估；涂层数据仅用于合成压力测试。MiSCS 当前只有代码仓库，没有图像数据，故不计入清单。mokume-labelme、vsb-统计、vsb-final.build-cache 等派生目录不作为独立数据集。除 WVTec 本地记录的许可外，其余数据集在公开发布前仍需逐项确认许可证。</w:t>
      </w:r>
    </w:p>
    <w:p>
      <w:pPr>
        <w:pStyle w:val="Heading1"/>
      </w:pPr>
      <w:r>
        <w:t>4. 物理组划分与防泄漏</w:t>
      </w:r>
    </w:p>
    <w:p>
      <w:pPr>
        <w:pStyle w:val="ListBullet"/>
      </w:pPr>
      <w:r>
        <w:t>固定随机种子为 20260729，先按物理组划分，再生成目标、COCO 和裁剪。</w:t>
      </w:r>
    </w:p>
    <w:p>
      <w:pPr>
        <w:pStyle w:val="ListBullet"/>
      </w:pPr>
      <w:r>
        <w:t>桥接集共 322 张：train=194、val=59、test=69；树或立方体在三个划分间交集为 0。</w:t>
      </w:r>
    </w:p>
    <w:p>
      <w:pPr>
        <w:pStyle w:val="ListBullet"/>
      </w:pPr>
      <w:r>
        <w:t>VSB 继承 vsb-final 的固定采集组划分：train=10,000、val=2,000、test=4,000。</w:t>
      </w:r>
    </w:p>
    <w:p>
      <w:pPr>
        <w:pStyle w:val="ListBullet"/>
      </w:pPr>
      <w:r>
        <w:t>UruDendro4 锁定为年轮 external_test，并建立 5 折树级 R2；Indiana、VNWoodKnot、OULU 均锁定 external_test。</w:t>
      </w:r>
    </w:p>
    <w:p>
      <w:pPr>
        <w:pStyle w:val="ListBullet"/>
      </w:pPr>
      <w:r>
        <w:t>清单重复路径 0、缺失引用 0、不可读图像 0、跨划分物理组泄漏 0。</w:t>
      </w:r>
    </w:p>
    <w:p>
      <w:pPr>
        <w:pStyle w:val="Heading1"/>
      </w:pPr>
      <w:r>
        <w:t>5. 年轮监督产物</w:t>
      </w:r>
    </w:p>
    <w:p>
      <w:pPr>
        <w:spacing w:after="100"/>
      </w:pPr>
      <w:r>
        <w:t>已生成 2,826/2,826 份年轮目标，错误 0，共 14,130 个 PNG。每张包含 1 px 骨架、5 px 边界、tau=16.0 截断距离场、实例图和有效区。数据集分布：{"indiana": 1466, "mokume": 1140, "urudendro": 64, "urudendro2": 54, "urudendro4": 102}。</w:t>
      </w:r>
    </w:p>
    <w:p>
      <w:pPr>
        <w:spacing w:after="100"/>
      </w:pPr>
      <w:r>
        <w:t>共解析 4,319 条闭合轮廓。发现 3 个非严格嵌套警告，样本为：urudendro:F02a, urudendro:F07a, urudendro4:T2_B2_N16_A。这些目标可用于一般训练，但拓扑敏感实验前必须复核原始多边形。</w:t>
      </w:r>
    </w:p>
    <w:p>
      <w:pPr>
        <w:pStyle w:val="Heading1"/>
      </w:pPr>
      <w:r>
        <w:t>6. 两类缺陷 COCO</w:t>
      </w:r>
    </w:p>
    <w:p>
      <w:pPr>
        <w:spacing w:after="100"/>
      </w:pPr>
      <w:r>
        <w:t>扩展 COCO 包含 18,676 张图像、33,895 个目标实例和 674 个非目标忽略区域。分割可用实例 31,443 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D9EA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数据集</w:t>
            </w:r>
          </w:p>
        </w:tc>
        <w:tc>
          <w:tcPr>
            <w:tcW w:type="dxa" w:w="1972"/>
            <w:shd w:fill="D9EA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knot</w:t>
            </w:r>
          </w:p>
        </w:tc>
        <w:tc>
          <w:tcPr>
            <w:tcW w:type="dxa" w:w="1972"/>
            <w:shd w:fill="D9EA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crack</w:t>
            </w:r>
          </w:p>
        </w:tc>
        <w:tc>
          <w:tcPr>
            <w:tcW w:type="dxa" w:w="1972"/>
            <w:shd w:fill="D9EA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目标合计</w:t>
            </w:r>
          </w:p>
        </w:tc>
        <w:tc>
          <w:tcPr>
            <w:tcW w:type="dxa" w:w="1972"/>
            <w:shd w:fill="D9EA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已核验 normal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vsb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28305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2169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30474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1621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vnwoodknot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1021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1021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500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oulu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1196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235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1431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103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urudendro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802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802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mokume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79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88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167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169</w:t>
            </w:r>
          </w:p>
        </w:tc>
      </w:tr>
      <w:tr>
        <w:tc>
          <w:tcPr>
            <w:tcW w:type="dxa" w:w="197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总计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30601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3294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33895</w:t>
            </w:r>
          </w:p>
        </w:tc>
        <w:tc>
          <w:tcPr>
            <w:tcW w:type="dxa" w:w="197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2393</w:t>
            </w:r>
          </w:p>
        </w:tc>
      </w:tr>
    </w:tbl>
    <w:p>
      <w:pPr>
        <w:spacing w:after="100"/>
      </w:pPr>
      <w:r>
        <w:t>按协议划分的目标实例：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fill="D9EA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划分</w:t>
            </w:r>
          </w:p>
        </w:tc>
        <w:tc>
          <w:tcPr>
            <w:tcW w:type="dxa" w:w="2464"/>
            <w:shd w:fill="D9EA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knot</w:t>
            </w:r>
          </w:p>
        </w:tc>
        <w:tc>
          <w:tcPr>
            <w:tcW w:type="dxa" w:w="2464"/>
            <w:shd w:fill="D9EA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crack</w:t>
            </w:r>
          </w:p>
        </w:tc>
        <w:tc>
          <w:tcPr>
            <w:tcW w:type="dxa" w:w="2464"/>
            <w:shd w:fill="D9EAF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合计</w:t>
            </w:r>
          </w:p>
        </w:tc>
      </w:tr>
      <w:tr>
        <w:tc>
          <w:tcPr>
            <w:tcW w:type="dxa" w:w="246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train</w:t>
            </w:r>
          </w:p>
        </w:tc>
        <w:tc>
          <w:tcPr>
            <w:tcW w:type="dxa" w:w="246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17722</w:t>
            </w:r>
          </w:p>
        </w:tc>
        <w:tc>
          <w:tcPr>
            <w:tcW w:type="dxa" w:w="246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2150</w:t>
            </w:r>
          </w:p>
        </w:tc>
        <w:tc>
          <w:tcPr>
            <w:tcW w:type="dxa" w:w="246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19872</w:t>
            </w:r>
          </w:p>
        </w:tc>
      </w:tr>
      <w:tr>
        <w:tc>
          <w:tcPr>
            <w:tcW w:type="dxa" w:w="246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val</w:t>
            </w:r>
          </w:p>
        </w:tc>
        <w:tc>
          <w:tcPr>
            <w:tcW w:type="dxa" w:w="246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3856</w:t>
            </w:r>
          </w:p>
        </w:tc>
        <w:tc>
          <w:tcPr>
            <w:tcW w:type="dxa" w:w="246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474</w:t>
            </w:r>
          </w:p>
        </w:tc>
        <w:tc>
          <w:tcPr>
            <w:tcW w:type="dxa" w:w="246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4330</w:t>
            </w:r>
          </w:p>
        </w:tc>
      </w:tr>
      <w:tr>
        <w:tc>
          <w:tcPr>
            <w:tcW w:type="dxa" w:w="246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test</w:t>
            </w:r>
          </w:p>
        </w:tc>
        <w:tc>
          <w:tcPr>
            <w:tcW w:type="dxa" w:w="246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6806</w:t>
            </w:r>
          </w:p>
        </w:tc>
        <w:tc>
          <w:tcPr>
            <w:tcW w:type="dxa" w:w="246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435</w:t>
            </w:r>
          </w:p>
        </w:tc>
        <w:tc>
          <w:tcPr>
            <w:tcW w:type="dxa" w:w="246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7241</w:t>
            </w:r>
          </w:p>
        </w:tc>
      </w:tr>
      <w:tr>
        <w:tc>
          <w:tcPr>
            <w:tcW w:type="dxa" w:w="246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external_test</w:t>
            </w:r>
          </w:p>
        </w:tc>
        <w:tc>
          <w:tcPr>
            <w:tcW w:type="dxa" w:w="246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2217</w:t>
            </w:r>
          </w:p>
        </w:tc>
        <w:tc>
          <w:tcPr>
            <w:tcW w:type="dxa" w:w="246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235</w:t>
            </w:r>
          </w:p>
        </w:tc>
        <w:tc>
          <w:tcPr>
            <w:tcW w:type="dxa" w:w="246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2452</w:t>
            </w:r>
          </w:p>
        </w:tc>
      </w:tr>
    </w:tbl>
    <w:p>
      <w:pPr>
        <w:spacing w:after="100"/>
      </w:pPr>
      <w:r>
        <w:t>所有框均位于图像范围内，COCO 引用、分割、类别契约和 group/split 继承错误均为 0。VSB 的 16,000 张统一掩膜与 32,095 个裁剪原位复用，没有再复制约 129 GiB 数据。</w:t>
      </w:r>
    </w:p>
    <w:p>
      <w:pPr>
        <w:spacing w:after="100"/>
      </w:pPr>
      <w:r>
        <w:t>标准 YOLO 和 Mask R-CNN 导出格式不能表达 ignore 区域：导出器默认使用 box 模式，并保守跳过含 ignore 区域的图像；正式 OULU 全量评估应使用扩展 COCO 加 ignore-aware evaluator，避免把非目标缺陷计作背景。</w:t>
      </w:r>
    </w:p>
    <w:p>
      <w:pPr>
        <w:pStyle w:val="Heading1"/>
      </w:pPr>
      <w:r>
        <w:t>7. 分类裁剪</w:t>
      </w:r>
    </w:p>
    <w:p>
      <w:pPr>
        <w:spacing w:after="100"/>
      </w:pPr>
      <w:r>
        <w:t>共索引 36,288 个 320×320 裁剪：knot=30,601、crack=3,294、normal=2,393。其中复用 VSB 裁剪 32,095 个，本项目新增 4,193 个。裁剪缺失和物理组/划分继承错误均为 0。</w:t>
      </w:r>
    </w:p>
    <w:p>
      <w:pPr>
        <w:spacing w:after="100"/>
      </w:pPr>
      <w:r>
        <w:t>类别明显不平衡，正式训练必须报告 macro-F1、每类召回率和每类 AP，并使用损失重加权或按物理组的平衡采样；不能只报告总体准确率。</w:t>
      </w:r>
    </w:p>
    <w:p>
      <w:pPr>
        <w:pStyle w:val="Heading1"/>
      </w:pPr>
      <w:r>
        <w:t>8. 桥接数据与双任务监督</w:t>
      </w:r>
    </w:p>
    <w:p>
      <w:pPr>
        <w:spacing w:after="100"/>
      </w:pPr>
      <w:r>
        <w:t>桥接图像 322 张，划分为 train=194, test=69, val=59；标签状态为 {'verified_negative': 169, 'positive': 152, 'ignore_only': 1}。规范化副本保留 970/970 个形状，其中目标实例 969 个、ignore 实例 1 个。</w:t>
      </w:r>
    </w:p>
    <w:p>
      <w:pPr>
        <w:spacing w:after="100"/>
      </w:pPr>
      <w:r>
        <w:t>桥接目标包括 UruDendro crack 802 个、Mokume knot 79 个和 crack 88 个；969 个目标均带 affects_rings 属性，可用于缺陷邻域年轮指标和双向条件分支实验。规范化执行实例 ID 去重 6 次、truncated 重算 176 次、自交修复 2 次，并保留 1 个非目标忽略区域。</w:t>
      </w:r>
    </w:p>
    <w:p>
      <w:pPr>
        <w:pStyle w:val="Heading1"/>
      </w:pPr>
      <w:r>
        <w:t>9. 重复与来源完整性审计</w:t>
      </w:r>
    </w:p>
    <w:p>
      <w:pPr>
        <w:spacing w:after="100"/>
      </w:pPr>
      <w:r>
        <w:t>主数据 pHash 审计覆盖 21,346 张，阈值为 4：跨划分候选 48 对，完全相同哈希 0 对。VSB 复用 16,000 个哈希，其余新计算 5,346 个。5 张接触表已复核全部 48 对，明显图像重复 0 对；复核为 AI 辅助目视筛查，不是独立领域专家复核，也不能证明物理木材来源必然不同。</w:t>
      </w:r>
    </w:p>
    <w:p>
      <w:pPr>
        <w:spacing w:after="100"/>
      </w:pPr>
      <w:r>
        <w:t>WVTec 辅助划分候选 0 对。涂层数据为 335 个基础组，每组 45 个派生、总计 15,075 张，全部处于 auxiliary_stress，不进入主训练/验证结论。</w:t>
      </w:r>
    </w:p>
    <w:p>
      <w:pPr>
        <w:spacing w:after="100"/>
      </w:pPr>
      <w:r>
        <w:t>派生产物当前共 19,818 个文件、627.8 MiB，不包含原位复用的 VSB 大文件。关键配置、清单、COCO、裁剪索引和完整性报告的 SHA-256 已写入 data_processed/provenance/artifact_hashes.json。</w:t>
      </w:r>
    </w:p>
    <w:p>
      <w:pPr>
        <w:pStyle w:val="Heading1"/>
      </w:pPr>
      <w:r>
        <w:t>10. 双向正迁移验证协议</w:t>
      </w:r>
    </w:p>
    <w:p>
      <w:pPr>
        <w:spacing w:after="100"/>
      </w:pPr>
      <w:r>
        <w:t>数据工程只能提供可验证条件，不能单独证明正相关。论文中应将命题表述为“年轮任务与缺陷任务是否产生稳定双向正迁移”，并至少比较以下模型：Ring-only、Defect-only、共享编码器但无交互、R→D Oracle、R→D Pred、D→R Oracle、D→R Pred、完整 BiCRR。</w:t>
      </w:r>
    </w:p>
    <w:p>
      <w:pPr>
        <w:pStyle w:val="ListBullet"/>
      </w:pPr>
      <w:r>
        <w:t>年轮指标：Boundary F1/Dice、clDice、ASSD或HD95、闭合率、断裂数；同时报告缺陷邻域和匹配非缺陷区域。</w:t>
      </w:r>
    </w:p>
    <w:p>
      <w:pPr>
        <w:pStyle w:val="ListBullet"/>
      </w:pPr>
      <w:r>
        <w:t>缺陷指标：box/mask mAP50-95、AP_knot、AP_crack、每类召回率；分类报告 macro-F1 和 balanced accuracy。</w:t>
      </w:r>
    </w:p>
    <w:p>
      <w:pPr>
        <w:pStyle w:val="ListBullet"/>
      </w:pPr>
      <w:r>
        <w:t>统计单位必须是树或立方体等物理组。固定数据划分，至少 5 个训练随机种子，报告均值、标准差、组级 bootstrap 95% CI 和配对置换检验；多重比较使用 Holm 校正。</w:t>
      </w:r>
    </w:p>
    <w:p>
      <w:pPr>
        <w:pStyle w:val="ListBullet"/>
      </w:pPr>
      <w:r>
        <w:t>只有完整模型相对无交互共享基线在两个方向都出现正效应、95% CI 不跨 0，并且外部测试不显著退化时，才支持双向正迁移。Oracle 有效而 Pred 无效只能说明条件信号有潜力，不能证明实际模型闭环成立。</w:t>
      </w:r>
    </w:p>
    <w:p>
      <w:pPr>
        <w:spacing w:after="100"/>
      </w:pPr>
      <w:r>
        <w:t>详细预注册方案见 docs/bidirectional_validation_protocol.md。</w:t>
      </w:r>
    </w:p>
    <w:p>
      <w:pPr>
        <w:pStyle w:val="Heading1"/>
      </w:pPr>
      <w:r>
        <w:t>11. 仍需补齐的论文证据</w:t>
      </w:r>
    </w:p>
    <w:p>
      <w:pPr>
        <w:pStyle w:val="ListBullet"/>
      </w:pPr>
      <w:r>
        <w:t>尚无独立第二标注目录，不能报告 10% 双人独立复标、多边形 IoU 或类别一致率。正式论文前必须补做并冻结复核清单。</w:t>
      </w:r>
    </w:p>
    <w:p>
      <w:pPr>
        <w:pStyle w:val="ListBullet"/>
      </w:pPr>
      <w:r>
        <w:t>Uru 的 3 个非严格嵌套年轮样本需专家复核；在此之前应同时报告包含与排除它们的敏感性分析。</w:t>
      </w:r>
    </w:p>
    <w:p>
      <w:pPr>
        <w:pStyle w:val="ListBullet"/>
      </w:pPr>
      <w:r>
        <w:t>VNWoodKnot 数字类别 1/2 的生物学含义和所有数据集许可证仍需引用官方来源确认。</w:t>
      </w:r>
    </w:p>
    <w:p>
      <w:pPr>
        <w:pStyle w:val="ListBullet"/>
      </w:pPr>
      <w:r>
        <w:t>VSB 只有 10 个连续采集组，16,000 张图不等于 16,000 个独立木材来源；置信区间和外推结论必须以采集组为单位解释。</w:t>
      </w:r>
    </w:p>
    <w:p>
      <w:pPr>
        <w:pStyle w:val="ListBullet"/>
      </w:pPr>
      <w:r>
        <w:t>数据工程已完成，但尚未生成任何正式模型指标；不得把本报告的完整性 ok 写成模型精度结论。</w:t>
      </w:r>
    </w:p>
    <w:p>
      <w:pPr>
        <w:pStyle w:val="Heading1"/>
      </w:pPr>
      <w:r>
        <w:t>12. 复现命令</w:t>
      </w:r>
    </w:p>
    <w:p>
      <w:r>
        <w:rPr>
          <w:rFonts w:ascii="Consolas" w:hAnsi="Consolas"/>
          <w:sz w:val="16"/>
        </w:rPr>
        <w:t>python scripts/build_manifest.py --config configs/data.json --refresh-image-metadata</w:t>
        <w:br/>
        <w:t>python scripts/audit_provenance.py --baseline</w:t>
        <w:br/>
        <w:t>python scripts/run_data_pipeline.py --stages bridge rings coco crops duplicates --vsb-segmentation-limit 0</w:t>
        <w:br/>
        <w:t>python scripts/audit_provenance.py --verify</w:t>
        <w:br/>
        <w:t>python scripts/validate_data_artifacts.py</w:t>
        <w:br/>
        <w:t>python -m unittest discover -s tests -v</w:t>
        <w:br/>
        <w:t>python scripts/build_final_report.py</w:t>
      </w:r>
    </w:p>
    <w:p>
      <w:pPr>
        <w:spacing w:after="100"/>
      </w:pPr>
      <w:r>
        <w:t>清单 inventory SHA-256：df49cf1086400375db1d3acd3710893038fa49b1cff120258f17f304b4fae4e3。关键 manifest SHA-256：bd364472586a624733c01425fa87ec122fc0c5b31d5a5b583b3db7e7222011f7。</w:t>
      </w:r>
    </w:p>
    <w:sectPr w:rsidR="00FC693F" w:rsidRPr="0006063C" w:rsidSect="00034616">
      <w:footerReference w:type="default" r:id="rId9"/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wood-multitask-final | 2026-08-06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木材年轮与缺陷多任务项目：论文级数据工程报告</dc:title>
  <dc:subject>Data engineering, provenance, leakage audit and bidirectional validation protocol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