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示例公司2023年度经营简报（脱敏样例）</w:t>
      </w:r>
    </w:p>
    <w:p>
      <w:r>
        <w:t>第一页：本年度营业收入保持稳定增长。</w:t>
      </w:r>
    </w:p>
    <w:p>
      <w:r>
        <w:br w:type="page"/>
      </w:r>
    </w:p>
    <w:p>
      <w:r>
        <w:t>第二页：研发费用1234万元，占营收比例5.6%。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项目</w:t>
            </w:r>
          </w:p>
        </w:tc>
        <w:tc>
          <w:p>
            <w:r>
              <w:t>金额</w:t>
            </w:r>
          </w:p>
        </w:tc>
      </w:tr>
      <w:tr>
        <w:tc>
          <w:p>
            <w:r>
              <w:t>研发费用</w:t>
            </w:r>
          </w:p>
        </w:tc>
        <w:tc>
          <w:p>
            <w:r>
              <w:t>1234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2026-10-11T14:18:27Z</dcterms:created>
  <dc:creator>Apache POI</dc:creator>
</cp:coreProperties>
</file>