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77B2F03B">
      <w:pPr>
        <w:pStyle w:val="style0"/>
        <w:rPr/>
      </w:pPr>
      <w:bookmarkStart w:id="0" w:name="_GoBack"/>
      <w:bookmarkEnd w:id="0"/>
      <w:r>
        <w:t>Technological Dependence Risks of Foundational Software and Cross-Economy Adaptive Paths Under the Evolution of Global Digital Ecosystem</w:t>
      </w:r>
    </w:p>
    <w:p w14:paraId="70FB4DA0">
      <w:pPr>
        <w:pStyle w:val="style0"/>
        <w:rPr/>
      </w:pPr>
      <w:r>
        <w:t xml:space="preserve"> </w:t>
      </w:r>
    </w:p>
    <w:p w14:paraId="7E8F26D6">
      <w:pPr>
        <w:pStyle w:val="style0"/>
        <w:rPr/>
      </w:pPr>
      <w:r>
        <w:t>Authors: Feng Dejian, Feng Yuwen</w:t>
      </w:r>
    </w:p>
    <w:p w14:paraId="62C6F01E">
      <w:pPr>
        <w:pStyle w:val="style0"/>
        <w:rPr/>
      </w:pPr>
      <w:r>
        <w:t>ORCID: 0009-0000-5793-9666</w:t>
      </w:r>
    </w:p>
    <w:p w14:paraId="66F6D8DB">
      <w:pPr>
        <w:pStyle w:val="style0"/>
        <w:rPr/>
      </w:pPr>
      <w:r>
        <w:t xml:space="preserve"> </w:t>
      </w:r>
    </w:p>
    <w:p w14:paraId="0A8E81D1">
      <w:pPr>
        <w:pStyle w:val="style0"/>
        <w:rPr/>
      </w:pPr>
      <w:r>
        <w:t>Brief Introduction of Authors</w:t>
      </w:r>
    </w:p>
    <w:p w14:paraId="4F47C088">
      <w:pPr>
        <w:pStyle w:val="style0"/>
        <w:rPr/>
      </w:pPr>
      <w:r>
        <w:t xml:space="preserve"> </w:t>
      </w:r>
    </w:p>
    <w:p w14:paraId="E9357198">
      <w:pPr>
        <w:pStyle w:val="style0"/>
        <w:rPr/>
      </w:pPr>
      <w:r>
        <w:t>Feng Dejian, independent researcher, whose main research interests cover digital ecosystem, foundational software architecture and science &amp; technology governance.</w:t>
      </w:r>
    </w:p>
    <w:p w14:paraId="ABB4C58B">
      <w:pPr>
        <w:pStyle w:val="style0"/>
        <w:rPr/>
      </w:pPr>
      <w:r>
        <w:t>Feng Yuwen, independent researcher, focusing on software ecosystem, global value chain and technological risk management.</w:t>
      </w:r>
    </w:p>
    <w:p w14:paraId="C6FC0017">
      <w:pPr>
        <w:pStyle w:val="style0"/>
        <w:rPr/>
      </w:pPr>
      <w:r>
        <w:t xml:space="preserve"> </w:t>
      </w:r>
    </w:p>
    <w:p w14:paraId="20CCC242">
      <w:pPr>
        <w:pStyle w:val="style0"/>
        <w:rPr/>
      </w:pPr>
      <w:r>
        <w:t>Ethics Statement</w:t>
      </w:r>
    </w:p>
    <w:p w14:paraId="B5589005">
      <w:pPr>
        <w:pStyle w:val="style0"/>
        <w:rPr/>
      </w:pPr>
      <w:r>
        <w:t xml:space="preserve"> </w:t>
      </w:r>
    </w:p>
    <w:p w14:paraId="F50D0675">
      <w:pPr>
        <w:pStyle w:val="style0"/>
        <w:rPr/>
      </w:pPr>
      <w:r>
        <w:t>This paper is a purely academic research conducted in accordance with neutral and objective academic principles. There is no national discrimination, technological bias or implicit interest preference in the content. All data used in this study are derived from publicly available authoritative global institutions, and all analysis conclusions are for academic discussion only.</w:t>
      </w:r>
    </w:p>
    <w:p w14:paraId="EB9F20A5">
      <w:pPr>
        <w:pStyle w:val="style0"/>
        <w:rPr/>
      </w:pPr>
      <w:r>
        <w:t xml:space="preserve"> </w:t>
      </w:r>
    </w:p>
    <w:p w14:paraId="F3883BA9">
      <w:pPr>
        <w:pStyle w:val="style0"/>
        <w:rPr/>
      </w:pPr>
      <w:r>
        <w:t>Conflict of Interest Statement</w:t>
      </w:r>
    </w:p>
    <w:p w14:paraId="DE50DF36">
      <w:pPr>
        <w:pStyle w:val="style0"/>
        <w:rPr/>
      </w:pPr>
      <w:r>
        <w:t xml:space="preserve"> </w:t>
      </w:r>
    </w:p>
    <w:p w14:paraId="2695B6C5">
      <w:pPr>
        <w:pStyle w:val="style0"/>
        <w:rPr/>
      </w:pPr>
      <w:r>
        <w:t>The authors declare that there is no conflict of interest.</w:t>
      </w:r>
    </w:p>
    <w:p w14:paraId="DC974DB9">
      <w:pPr>
        <w:pStyle w:val="style0"/>
        <w:rPr/>
      </w:pPr>
      <w:r>
        <w:t xml:space="preserve"> </w:t>
      </w:r>
    </w:p>
    <w:p w14:paraId="1C739AF5">
      <w:pPr>
        <w:pStyle w:val="style0"/>
        <w:rPr/>
      </w:pPr>
      <w:r>
        <w:t>Abstract</w:t>
      </w:r>
    </w:p>
    <w:p w14:paraId="5CCB7450">
      <w:pPr>
        <w:pStyle w:val="style0"/>
        <w:rPr/>
      </w:pPr>
      <w:r>
        <w:t xml:space="preserve"> </w:t>
      </w:r>
    </w:p>
    <w:p w14:paraId="2CA72F61">
      <w:pPr>
        <w:pStyle w:val="style0"/>
        <w:rPr/>
      </w:pPr>
      <w:r>
        <w:t>Since the Third Industrial Revolution, the global digital industry has formed a pattern where developed economies dominate the foundational software ecosystem. As the core cornerstone of the digital economy, foundational software including instruction set architectures, compilers, operating systems and artificial intelligence frameworks features strong path dependence and network effects. In recent years, along with the restructuring of global value chains and adjustments of digital geopolitical patterns, some developed economies have implemented phased technological access controls. The scope of restrictions has gradually expanded from high-performance computing hardware to all categories of foundational software, turning technological dependence into a systematic risk widely faced by developing economies worldwide. Based on the path dependence theory, global value chain theory and digital geopolitical theory, this paper conducts a medium-to-long-term scenario projection for 2026–2031 and divides the ecological evolution into three stages to systematically assess multiple potential risks caused by technological dependence. This study selects four typical economies including the European Union, Russia, Japan &amp; South Korea, and India to carry out a comparative analysis of software independent development models, and objectively compares the adaptability, operational costs and comprehensive risks of different paths. Furthermore, a five-dimensional risk assessment matrix is constructed to conduct two-way evaluation on three mainstream development paths: continuing technological dependence, radical full closure, and differentiated phased transformation. The research finds that long-term adherence to existing technological dependence will trap economies in irreversible technological lock-in; while radical full closure will disrupt global industrial collaboration and trigger secondary risks such as slowed industrial innovation and blocked international trade. Considering the reality of global industrial division of labor and international rules, this paper proposes a differentiated phased transformation strategy: full-stack independent R&amp;D for core foundational layers, fork innovation for intermediate layers, and global collaboration for application layers. A dual-cycle technical system integrating domestic and global markets is established, and a four-dimensional supporting scheme covering compliance, talent cultivation, ecosystem construction and governance is formulated. From a global multi-polar perspective, this research provides theoretical references and practical paradigms for developing digital economies worldwide to address foundational software risks and select adaptive development paths.</w:t>
      </w:r>
    </w:p>
    <w:p w14:paraId="108AD1CE">
      <w:pPr>
        <w:pStyle w:val="style0"/>
        <w:rPr/>
      </w:pPr>
      <w:r>
        <w:t xml:space="preserve"> </w:t>
      </w:r>
    </w:p>
    <w:p w14:paraId="27FEE603">
      <w:pPr>
        <w:pStyle w:val="style0"/>
        <w:rPr/>
      </w:pPr>
      <w:r>
        <w:t>Keywords: Foundational software; Technological dependence; Technological lock-in; Digital ecosystem; Differentiated autonomy; Global value chain</w:t>
      </w:r>
    </w:p>
    <w:p w14:paraId="967B7B4E">
      <w:pPr>
        <w:pStyle w:val="style0"/>
        <w:rPr/>
      </w:pPr>
      <w:r>
        <w:t xml:space="preserve"> </w:t>
      </w:r>
    </w:p>
    <w:p w14:paraId="5C8B8B02">
      <w:pPr>
        <w:pStyle w:val="style0"/>
        <w:rPr/>
      </w:pPr>
      <w:r>
        <w:t> </w:t>
      </w:r>
    </w:p>
    <w:p w14:paraId="7115458F">
      <w:pPr>
        <w:pStyle w:val="style0"/>
        <w:rPr/>
      </w:pPr>
      <w:r>
        <w:t xml:space="preserve"> </w:t>
      </w:r>
    </w:p>
    <w:p w14:paraId="BB86B818">
      <w:pPr>
        <w:pStyle w:val="style0"/>
        <w:rPr/>
      </w:pPr>
      <w:r>
        <w:t>1. Introduction</w:t>
      </w:r>
    </w:p>
    <w:p w14:paraId="6E2AC5C4">
      <w:pPr>
        <w:pStyle w:val="style0"/>
        <w:rPr/>
      </w:pPr>
      <w:r>
        <w:t xml:space="preserve"> </w:t>
      </w:r>
    </w:p>
    <w:p w14:paraId="8F766DE2">
      <w:pPr>
        <w:pStyle w:val="style0"/>
        <w:rPr/>
      </w:pPr>
      <w:r>
        <w:t>1.1 Research Background and Research Questions</w:t>
      </w:r>
    </w:p>
    <w:p w14:paraId="6162D61D">
      <w:pPr>
        <w:pStyle w:val="style0"/>
        <w:rPr/>
      </w:pPr>
      <w:r>
        <w:t xml:space="preserve"> </w:t>
      </w:r>
    </w:p>
    <w:p w14:paraId="ED06AAD7">
      <w:pPr>
        <w:pStyle w:val="style0"/>
        <w:rPr/>
      </w:pPr>
      <w:r>
        <w:t>The global popularization of digital technologies such as computers, the Internet and artificial intelligence has promoted a hierarchical and centralized pattern of the global software technology stack. As the core carrier connecting hardware devices and upper-layer applications, foundational software consists of CPU instruction set architectures, compilation toolchains, operating system kernels and general-purpose development frameworks. It is characterized by long R&amp;D cycles, high ecological barriers and extremely high switching costs for the whole system. Due to historical technological accumulation, first-mover advantages in language, and the distribution of governance rights over open-source communities, more than 90% of the foundational software systems used in general computing scenarios around the world are developed and maintained by developed economies in Europe and America.</w:t>
      </w:r>
    </w:p>
    <w:p w14:paraId="411F1A22">
      <w:pPr>
        <w:pStyle w:val="style0"/>
        <w:rPr/>
      </w:pPr>
      <w:r>
        <w:t xml:space="preserve"> </w:t>
      </w:r>
    </w:p>
    <w:p w14:paraId="989C5EB9">
      <w:pPr>
        <w:pStyle w:val="style0"/>
        <w:rPr/>
      </w:pPr>
      <w:r>
        <w:t>In the second decade of the 21st century, the global value chain entered a restructuring cycle, accompanied by profound changes in the geopolitical landscape of digital industries. Some developed economies have gradually introduced phased technological access control policies. The regulatory scope has extended from traditional high-performance computing hardware to open-source development frameworks, cloud service interfaces, high-end industrial software and the formulation of international technological standards. This change is not a competition between individual countries, but a common industrial challenge for all developing economies deeply integrated into the global digital division of labor.</w:t>
      </w:r>
    </w:p>
    <w:p w14:paraId="18B2ADE5">
      <w:pPr>
        <w:pStyle w:val="style0"/>
        <w:rPr/>
      </w:pPr>
      <w:r>
        <w:t xml:space="preserve"> </w:t>
      </w:r>
    </w:p>
    <w:p w14:paraId="F4FE1395">
      <w:pPr>
        <w:pStyle w:val="style0"/>
        <w:rPr/>
      </w:pPr>
      <w:r>
        <w:t>The digital industry of China presents a structural feature: leading performance in application layers while high dependence on external technologies in foundational layers. Consumer Internet and mobile terminal applications have gained global competitiveness, but core foundational modules such as instruction sets, compilers, operating systems and high-end industrial software still rely heavily on mainstream global ecosystems. Maintaining the current technological pattern will continuously constrain industrial development by external technological iteration rhythms, version authorization rules and market access policies. Meanwhile, blind separation from global general-purpose technological systems will lead to intellectual property compliance risks, disruption of global industrial chain collaboration and loss of high-end innovative resources. Against this backdrop, it is of great theoretical and practical significance to scientifically predict the evolution trend of the global foundational software ecosystem in the next five years, objectively evaluate the comprehensive risks of different development paths, and design an adaptive strategy balancing security, development and international compliance.</w:t>
      </w:r>
    </w:p>
    <w:p w14:paraId="9A81AE18">
      <w:pPr>
        <w:pStyle w:val="style0"/>
        <w:rPr/>
      </w:pPr>
      <w:r>
        <w:t xml:space="preserve"> </w:t>
      </w:r>
    </w:p>
    <w:p w14:paraId="22E4DF60">
      <w:pPr>
        <w:pStyle w:val="style0"/>
        <w:rPr/>
      </w:pPr>
      <w:r>
        <w:t>1.2 Literature Review</w:t>
      </w:r>
    </w:p>
    <w:p w14:paraId="4BFF435A">
      <w:pPr>
        <w:pStyle w:val="style0"/>
        <w:rPr/>
      </w:pPr>
      <w:r>
        <w:t xml:space="preserve"> </w:t>
      </w:r>
    </w:p>
    <w:p w14:paraId="6FC13C0C">
      <w:pPr>
        <w:pStyle w:val="style0"/>
        <w:rPr/>
      </w:pPr>
      <w:r>
        <w:t>1.2.1 Overseas Research</w:t>
      </w:r>
    </w:p>
    <w:p w14:paraId="C30FDAE5">
      <w:pPr>
        <w:pStyle w:val="style0"/>
        <w:rPr/>
      </w:pPr>
      <w:r>
        <w:t xml:space="preserve"> </w:t>
      </w:r>
    </w:p>
    <w:p w14:paraId="AA9E710E">
      <w:pPr>
        <w:pStyle w:val="style0"/>
        <w:rPr/>
      </w:pPr>
      <w:r>
        <w:t>Overseas scholars started early in the research on technological path dependence and network effects of software ecosystems. Arthur (1989) put forward the path dependence theory, pointing out that once a mainstream technological paradigm is formed, network effects will continuously raise system switching costs and eventually lead to irreversible technological lock-in. Castells (2006) analyzed the global centralized development characteristics of digital technology ecosystems from the perspective of network society. In the field of open-source governance, organizations including the Open Source Initiative (OSI) and the Linux Foundation continuously release reports on the global open-source ecosystem, systematically analyzing the operational rules, interest patterns and evolutionary trends of mainstream open-source systems. In the field of digital geopolitics, overseas scholars focus on the impact of technological barriers on global value chains, and quantitatively study the mechanism of technological control policies on cross-border digital services and the international division of labor in the software industry.</w:t>
      </w:r>
    </w:p>
    <w:p w14:paraId="DDF81FFC">
      <w:pPr>
        <w:pStyle w:val="style0"/>
        <w:rPr/>
      </w:pPr>
      <w:r>
        <w:t xml:space="preserve"> </w:t>
      </w:r>
    </w:p>
    <w:p w14:paraId="8451D0A6">
      <w:pPr>
        <w:pStyle w:val="style0"/>
        <w:rPr/>
      </w:pPr>
      <w:r>
        <w:t>1.2.2 Domestic Research</w:t>
      </w:r>
    </w:p>
    <w:p w14:paraId="EFDE2ED8">
      <w:pPr>
        <w:pStyle w:val="style0"/>
        <w:rPr/>
      </w:pPr>
      <w:r>
        <w:t xml:space="preserve"> </w:t>
      </w:r>
    </w:p>
    <w:p w14:paraId="39C7650B">
      <w:pPr>
        <w:pStyle w:val="style0"/>
        <w:rPr/>
      </w:pPr>
      <w:r>
        <w:t>Domestic research is mainly divided into two directions. The first is research on domestic substitution, focusing on segmented fields such as operating systems, industrial software and EDA tools to analyze the technological gaps between domestic and foreign products and localized implementation paths. The second is digital security research, which assesses potential risks posed by external technological controls to domestic information infrastructure and key industrial operations. Existing research has three obvious deficiencies: most studies adopt a single-country perspective and lack horizontal comparative analysis across global economies; most conduct one-way risk analysis without objectively evaluating the negative effects of full decoupling; discussions on the compliance boundaries and ecological logic of parallel technological systems and open-source fork innovation are insufficient.</w:t>
      </w:r>
    </w:p>
    <w:p w14:paraId="7F72E11C">
      <w:pPr>
        <w:pStyle w:val="style0"/>
        <w:rPr/>
      </w:pPr>
      <w:r>
        <w:t xml:space="preserve"> </w:t>
      </w:r>
    </w:p>
    <w:p w14:paraId="41CC0D0A">
      <w:pPr>
        <w:pStyle w:val="style0"/>
        <w:rPr/>
      </w:pPr>
      <w:r>
        <w:t>1.2.3 Research Comments</w:t>
      </w:r>
    </w:p>
    <w:p w14:paraId="9E43F0FC">
      <w:pPr>
        <w:pStyle w:val="style0"/>
        <w:rPr/>
      </w:pPr>
      <w:r>
        <w:t xml:space="preserve"> </w:t>
      </w:r>
    </w:p>
    <w:p w14:paraId="0D0B8D7A">
      <w:pPr>
        <w:pStyle w:val="style0"/>
        <w:rPr/>
      </w:pPr>
      <w:r>
        <w:t>Existing studies have confirmed the objective existence of technological lock-in in the field of foundational software, but most lack medium-to-long-term scenario projection and two-way quantitative risk assessment of multiple development paths. From a global multi-polar perspective, this paper integrates theoretical analysis, cross-country comparison, trend projection and risk matrix analysis to make up for the deficiencies of existing research and enrich research achievements in the fields of global digital ecosystem and technological governance.</w:t>
      </w:r>
    </w:p>
    <w:p w14:paraId="C7DD9027">
      <w:pPr>
        <w:pStyle w:val="style0"/>
        <w:rPr/>
      </w:pPr>
      <w:r>
        <w:t xml:space="preserve"> </w:t>
      </w:r>
    </w:p>
    <w:p w14:paraId="FFB4D2F3">
      <w:pPr>
        <w:pStyle w:val="style0"/>
        <w:rPr/>
      </w:pPr>
      <w:r>
        <w:t>1.3 Definition of Core Concepts</w:t>
      </w:r>
    </w:p>
    <w:p w14:paraId="7E7BE837">
      <w:pPr>
        <w:pStyle w:val="style0"/>
        <w:rPr/>
      </w:pPr>
      <w:r>
        <w:t xml:space="preserve"> </w:t>
      </w:r>
    </w:p>
    <w:p w14:paraId="0B5B7828">
      <w:pPr>
        <w:pStyle w:val="style0"/>
        <w:rPr/>
      </w:pPr>
      <w:r>
        <w:t>To ensure logical consistency and unified terminology throughout the paper, core terms are standardized in accordance with general academic definitions:</w:t>
      </w:r>
    </w:p>
    <w:p w14:paraId="70BFEF66">
      <w:pPr>
        <w:pStyle w:val="style0"/>
        <w:rPr/>
      </w:pPr>
      <w:r>
        <w:t xml:space="preserve"> </w:t>
      </w:r>
    </w:p>
    <w:p w14:paraId="82464C2F">
      <w:pPr>
        <w:pStyle w:val="style0"/>
        <w:rPr/>
      </w:pPr>
      <w:r>
        <w:t>1. Foundational software technology stack: Divided into four levels from hardware to applications (see Table 1). This paper focuses on the first three core foundational layers.</w:t>
      </w:r>
    </w:p>
    <w:p w14:paraId="59C74C86">
      <w:pPr>
        <w:pStyle w:val="style0"/>
        <w:rPr/>
      </w:pPr>
      <w:r>
        <w:t>2. Technological dependence: A state where developing economies rely on external mainstream foundational software systems for a long time and lose the right of independent choice in technological iteration, ecological adaptation and standard formulation.</w:t>
      </w:r>
    </w:p>
    <w:p w14:paraId="8F74CFC1">
      <w:pPr>
        <w:pStyle w:val="style0"/>
        <w:rPr/>
      </w:pPr>
      <w:r>
        <w:t>3. Technological lock-in: The extreme form of path dependence. The deep binding of technological systems, talent structure and code assets leads to an exponential increase in the cost of switching to a new technological paradigm.</w:t>
      </w:r>
    </w:p>
    <w:p w14:paraId="FD0F5437">
      <w:pPr>
        <w:pStyle w:val="style0"/>
        <w:rPr/>
      </w:pPr>
      <w:r>
        <w:t>4. Fork innovation: Conducting secondary development, function customization and independent version iteration within the framework of mainstream global open-source systems in accordance with legitimate open-source agreements, while retaining the interoperability of data and functions across systems.</w:t>
      </w:r>
    </w:p>
    <w:p w14:paraId="B9D5BFEB">
      <w:pPr>
        <w:pStyle w:val="style0"/>
        <w:rPr/>
      </w:pPr>
      <w:r>
        <w:t>5. Full-stack independent R&amp;D: Breaking away from existing mainstream technological architectures and completing architecture design and code development of instruction sets, kernels, compilers and other modules from scratch to build an independent technological paradigm.</w:t>
      </w:r>
    </w:p>
    <w:p w14:paraId="81756179">
      <w:pPr>
        <w:pStyle w:val="style0"/>
        <w:rPr/>
      </w:pPr>
      <w:r>
        <w:t>6. Differentiated transformation: Adopting differentiated technological strategies according to technological layers and application scenarios to realize the dynamic balance between technological independence &amp; security and global industrial collaboration.</w:t>
      </w:r>
    </w:p>
    <w:p w14:paraId="164F2859">
      <w:pPr>
        <w:pStyle w:val="style0"/>
        <w:rPr/>
      </w:pPr>
      <w:r>
        <w:t xml:space="preserve"> </w:t>
      </w:r>
    </w:p>
    <w:p w14:paraId="FEC271B9">
      <w:pPr>
        <w:pStyle w:val="style0"/>
        <w:rPr/>
      </w:pPr>
      <w:r>
        <w:t>Table 1 Classification and Core Characteristics of Global Software Technology Stack</w:t>
      </w:r>
    </w:p>
    <w:p w14:paraId="341820A6">
      <w:pPr>
        <w:pStyle w:val="style0"/>
        <w:rPr/>
      </w:pPr>
      <w:r>
        <w:t xml:space="preserve"> </w:t>
      </w:r>
    </w:p>
    <w:p w14:paraId="A05AF641">
      <w:pPr>
        <w:pStyle w:val="style0"/>
        <w:rPr/>
      </w:pPr>
      <w:r>
        <w:t xml:space="preserve">Layer Included Modules Core Characteristics Ecological Attributes </w:t>
      </w:r>
    </w:p>
    <w:p w14:paraId="8E652B31">
      <w:pPr>
        <w:pStyle w:val="style0"/>
        <w:rPr/>
      </w:pPr>
      <w:r>
        <w:t xml:space="preserve">Layer 1 (Hardware Foundation) CPU instruction set, chip microarchitecture Fundamental rules with the highest system switching cost Globally highly centralized </w:t>
      </w:r>
    </w:p>
    <w:p w14:paraId="E4E79EC1">
      <w:pPr>
        <w:pStyle w:val="style0"/>
        <w:rPr/>
      </w:pPr>
      <w:r>
        <w:t xml:space="preserve">Layer 2 (Toolchain Layer) Compiler, debugger, linker General-purpose basic tools with strong cross-scenario reusability Globally universal ecosystem </w:t>
      </w:r>
    </w:p>
    <w:p w14:paraId="EA3E6D92">
      <w:pPr>
        <w:pStyle w:val="style0"/>
        <w:rPr/>
      </w:pPr>
      <w:r>
        <w:t xml:space="preserve">Layer 3 (System &amp; Framework Layer) Operating system kernel, general-purpose programming language, AI framework Connecting upper and lower layers and determining the overall development paradigm Oligopolistic pattern </w:t>
      </w:r>
    </w:p>
    <w:p w14:paraId="6934FFF1">
      <w:pPr>
        <w:pStyle w:val="style0"/>
        <w:rPr/>
      </w:pPr>
      <w:r>
        <w:t xml:space="preserve">Layer 4 (Application Layer) Industrial software, Internet products, terminal applications Scenario-oriented customization with fully competitive market Diversified global competition </w:t>
      </w:r>
    </w:p>
    <w:p w14:paraId="897C5B0F">
      <w:pPr>
        <w:pStyle w:val="style0"/>
        <w:rPr/>
      </w:pPr>
      <w:r>
        <w:t xml:space="preserve">Data source: IDC. Worldwide Software Infrastructure Forecast, 2026–2031, 2026    </w:t>
      </w:r>
    </w:p>
    <w:p w14:paraId="D527B19D">
      <w:pPr>
        <w:pStyle w:val="style0"/>
        <w:rPr/>
      </w:pPr>
      <w:r>
        <w:t xml:space="preserve"> </w:t>
      </w:r>
    </w:p>
    <w:p w14:paraId="1181DFB0">
      <w:pPr>
        <w:pStyle w:val="style0"/>
        <w:rPr/>
      </w:pPr>
      <w:r>
        <w:t>1.4 Research Hypotheses, Methods and Innovations</w:t>
      </w:r>
    </w:p>
    <w:p w14:paraId="1F759186">
      <w:pPr>
        <w:pStyle w:val="style0"/>
        <w:rPr/>
      </w:pPr>
      <w:r>
        <w:t xml:space="preserve"> </w:t>
      </w:r>
    </w:p>
    <w:p w14:paraId="07E9CA8C">
      <w:pPr>
        <w:pStyle w:val="style0"/>
        <w:rPr/>
      </w:pPr>
      <w:r>
        <w:t>1.4.1 Research Hypotheses</w:t>
      </w:r>
    </w:p>
    <w:p w14:paraId="A6E7D3A1">
      <w:pPr>
        <w:pStyle w:val="style0"/>
        <w:rPr/>
      </w:pPr>
      <w:r>
        <w:t xml:space="preserve"> </w:t>
      </w:r>
    </w:p>
    <w:p w14:paraId="507BE174">
      <w:pPr>
        <w:pStyle w:val="style0"/>
        <w:rPr/>
      </w:pPr>
      <w:r>
        <w:t>Three basic hypotheses are proposed to define the applicable scope of research conclusions:</w:t>
      </w:r>
    </w:p>
    <w:p w14:paraId="AC936B7C">
      <w:pPr>
        <w:pStyle w:val="style0"/>
        <w:rPr/>
      </w:pPr>
      <w:r>
        <w:t xml:space="preserve"> </w:t>
      </w:r>
    </w:p>
    <w:p w14:paraId="6607E039">
      <w:pPr>
        <w:pStyle w:val="style0"/>
        <w:rPr/>
      </w:pPr>
      <w:r>
        <w:t>1. Basic hypothesis: No disruptive changes will occur to the global geopolitical pattern, international trade rules and iteration speed of mainstream technologies from 2026 to 2031.</w:t>
      </w:r>
    </w:p>
    <w:p w14:paraId="3E7B15BB">
      <w:pPr>
        <w:pStyle w:val="style0"/>
        <w:rPr/>
      </w:pPr>
      <w:r>
        <w:t>2. Scenario hypothesis: Existing effectiveness and enforcement standards of global open-source agreements and international intellectual property conventions will be maintained.</w:t>
      </w:r>
    </w:p>
    <w:p w14:paraId="1B023A49">
      <w:pPr>
        <w:pStyle w:val="style0"/>
        <w:rPr/>
      </w:pPr>
      <w:r>
        <w:t>3. Policy hypothesis: Technological control policies implemented by developed economies will continue to follow the rhythm of gradual tightening.</w:t>
      </w:r>
    </w:p>
    <w:p w14:paraId="2566D708">
      <w:pPr>
        <w:pStyle w:val="style0"/>
        <w:rPr/>
      </w:pPr>
      <w:r>
        <w:t xml:space="preserve"> </w:t>
      </w:r>
    </w:p>
    <w:p w14:paraId="7C420D3F">
      <w:pPr>
        <w:pStyle w:val="style0"/>
        <w:rPr/>
      </w:pPr>
      <w:r>
        <w:t>1.4.2 Research Methods</w:t>
      </w:r>
    </w:p>
    <w:p w14:paraId="004D38CD">
      <w:pPr>
        <w:pStyle w:val="style0"/>
        <w:rPr/>
      </w:pPr>
      <w:r>
        <w:t xml:space="preserve"> </w:t>
      </w:r>
    </w:p>
    <w:p w14:paraId="7FA857F9">
      <w:pPr>
        <w:pStyle w:val="style0"/>
        <w:rPr/>
      </w:pPr>
      <w:r>
        <w:t>Four research methods are comprehensively adopted in this paper: cross-country comparative analysis, trend scenario projection, risk matrix assessment and literature research.</w:t>
      </w:r>
    </w:p>
    <w:p w14:paraId="D9CF40F2">
      <w:pPr>
        <w:pStyle w:val="style0"/>
        <w:rPr/>
      </w:pPr>
      <w:r>
        <w:t xml:space="preserve"> </w:t>
      </w:r>
    </w:p>
    <w:p w14:paraId="5BB0C0A3">
      <w:pPr>
        <w:pStyle w:val="style0"/>
        <w:rPr/>
      </w:pPr>
      <w:r>
        <w:t>1.4.3 Research Innovations</w:t>
      </w:r>
    </w:p>
    <w:p w14:paraId="7982D758">
      <w:pPr>
        <w:pStyle w:val="style0"/>
        <w:rPr/>
      </w:pPr>
      <w:r>
        <w:t xml:space="preserve"> </w:t>
      </w:r>
    </w:p>
    <w:p w14:paraId="E836EF76">
      <w:pPr>
        <w:pStyle w:val="style0"/>
        <w:rPr/>
      </w:pPr>
      <w:r>
        <w:t>1. Perspective innovation: Breaking the limitation of single-country research, this paper defines foundational software risks as a common problem for developing economies worldwide, and summarizes universal development rules combined with comparative analysis of multiple national models.</w:t>
      </w:r>
    </w:p>
    <w:p w14:paraId="C9842D59">
      <w:pPr>
        <w:pStyle w:val="style0"/>
        <w:rPr/>
      </w:pPr>
      <w:r>
        <w:t>2. Framework innovation: A hierarchical strategic model based on "technological layers + application scenarios" is constructed to clarify the applicable boundaries of full-stack independent R&amp;D, fork innovation and global collaboration.</w:t>
      </w:r>
    </w:p>
    <w:p w14:paraId="C448C924">
      <w:pPr>
        <w:pStyle w:val="style0"/>
        <w:rPr/>
      </w:pPr>
      <w:r>
        <w:t>3. Analysis innovation: Two-way risk assessment is carried out for three development paths to evaluate the dual risks of technological dependence and full decoupling simultaneously, avoiding one-sided judgment.</w:t>
      </w:r>
    </w:p>
    <w:p w14:paraId="97EEB673">
      <w:pPr>
        <w:pStyle w:val="style0"/>
        <w:rPr/>
      </w:pPr>
      <w:r>
        <w:t>4. Implementation innovation: Combining international open-source compliance requirements and rights and obligations of multiple stakeholders, a practical five-year implementation path and quantitative assessment indicators are designed.</w:t>
      </w:r>
    </w:p>
    <w:p w14:paraId="8D132504">
      <w:pPr>
        <w:pStyle w:val="style0"/>
        <w:rPr/>
      </w:pPr>
      <w:r>
        <w:t xml:space="preserve"> </w:t>
      </w:r>
    </w:p>
    <w:p w14:paraId="4AEC8EC6">
      <w:pPr>
        <w:pStyle w:val="style0"/>
        <w:rPr/>
      </w:pPr>
      <w:r>
        <w:t>1.5 Paper Structure</w:t>
      </w:r>
    </w:p>
    <w:p w14:paraId="2ACF798A">
      <w:pPr>
        <w:pStyle w:val="style0"/>
        <w:rPr/>
      </w:pPr>
      <w:r>
        <w:t xml:space="preserve"> </w:t>
      </w:r>
    </w:p>
    <w:p w14:paraId="DE4011D9">
      <w:pPr>
        <w:pStyle w:val="style0"/>
        <w:rPr/>
      </w:pPr>
      <w:r>
        <w:t>This paper consists of seven parts: Part One is the introduction and definition of basic concepts; Part Two covers the theoretical foundation and the pattern of the global foundational software ecosystem; Part Three presents the three-stage scenario projection of the evolution of the foundational software ecosystem from 2026 to 2031; Part Four conducts a comparative analysis of software independent development models across major global economies; Part Five carries out two-way risk assessment of three development paths; Part Six elaborates on the differentiated transformation strategy, five-year implementation path and supporting guarantee system; Part Seven draws conclusions, discusses research limitations and prospects future development.</w:t>
      </w:r>
    </w:p>
    <w:p w14:paraId="1EAD3210">
      <w:pPr>
        <w:pStyle w:val="style0"/>
        <w:rPr/>
      </w:pPr>
      <w:r>
        <w:t xml:space="preserve"> </w:t>
      </w:r>
    </w:p>
    <w:p w14:paraId="ECEBE763">
      <w:pPr>
        <w:pStyle w:val="style0"/>
        <w:rPr/>
      </w:pPr>
      <w:r>
        <w:t>2. Theoretical Foundation and Pattern of Global Foundational Software Ecosystem</w:t>
      </w:r>
    </w:p>
    <w:p w14:paraId="8750FA72">
      <w:pPr>
        <w:pStyle w:val="style0"/>
        <w:rPr/>
      </w:pPr>
      <w:r>
        <w:t xml:space="preserve"> </w:t>
      </w:r>
    </w:p>
    <w:p w14:paraId="3F174CB0">
      <w:pPr>
        <w:pStyle w:val="style0"/>
        <w:rPr/>
      </w:pPr>
      <w:r>
        <w:t>2.1 Core Theoretical Support</w:t>
      </w:r>
    </w:p>
    <w:p w14:paraId="052894DE">
      <w:pPr>
        <w:pStyle w:val="style0"/>
        <w:rPr/>
      </w:pPr>
      <w:r>
        <w:t xml:space="preserve"> </w:t>
      </w:r>
    </w:p>
    <w:p w14:paraId="AE4EF169">
      <w:pPr>
        <w:pStyle w:val="style0"/>
        <w:rPr/>
      </w:pPr>
      <w:r>
        <w:t>1. Path Dependence and Technological Lock-in Theory: Early choices of technological systems will continuously affect subsequent evolution. Network effects, asset accumulation and talent inertia jointly lead to the formation of technological lock-in.</w:t>
      </w:r>
    </w:p>
    <w:p w14:paraId="59349D7D">
      <w:pPr>
        <w:pStyle w:val="style0"/>
        <w:rPr/>
      </w:pPr>
      <w:r>
        <w:t>2. Global Value Chain (GVC) Theory: The global software industry presents a "smile curve" distribution. Foundational technologies occupy the top of the value chain, while application development stays at the middle and low ends, resulting in an unbalanced distribution of industrial profits and discourse power.</w:t>
      </w:r>
    </w:p>
    <w:p w14:paraId="4384B2CE">
      <w:pPr>
        <w:pStyle w:val="style0"/>
        <w:rPr/>
      </w:pPr>
      <w:r>
        <w:t>3. Digital Geopolitical Theory: Digital infrastructure and software ecosystems have gradually become carriers of regional competition. Technological access policies are essentially the extension of geopolitical patterns in the digital field.</w:t>
      </w:r>
    </w:p>
    <w:p w14:paraId="6A3E7DDA">
      <w:pPr>
        <w:pStyle w:val="style0"/>
        <w:rPr/>
      </w:pPr>
      <w:r>
        <w:t xml:space="preserve"> </w:t>
      </w:r>
    </w:p>
    <w:p w14:paraId="229EA6DE">
      <w:pPr>
        <w:pStyle w:val="style0"/>
        <w:rPr/>
      </w:pPr>
      <w:r>
        <w:t>2.2 Current Situation and Causes of the Global Foundational Software Ecosystem</w:t>
      </w:r>
    </w:p>
    <w:p w14:paraId="14410552">
      <w:pPr>
        <w:pStyle w:val="style0"/>
        <w:rPr/>
      </w:pPr>
      <w:r>
        <w:t xml:space="preserve"> </w:t>
      </w:r>
    </w:p>
    <w:p w14:paraId="03624009">
      <w:pPr>
        <w:pStyle w:val="style0"/>
        <w:rPr/>
      </w:pPr>
      <w:r>
        <w:t>The foundational software ecosystem for general computing worldwide presents an oligopolistic and globally reused pattern. According to the 2026 report released by the Open Source Initiative (OSI), 92% of general-purpose servers worldwide adopt Linux-based kernels, and more than 90% of artificial intelligence training tasks rely on the CUDA ecosystem as well as PyTorch and TensorFlow frameworks. In the market of high-end EDA, industrial CAD and CAE software, three leading European and American enterprises jointly account for 96% of the global market share.</w:t>
      </w:r>
    </w:p>
    <w:p w14:paraId="BA5C938C">
      <w:pPr>
        <w:pStyle w:val="style0"/>
        <w:rPr/>
      </w:pPr>
      <w:r>
        <w:t xml:space="preserve"> </w:t>
      </w:r>
    </w:p>
    <w:p w14:paraId="EFB8CF27">
      <w:pPr>
        <w:pStyle w:val="style0"/>
        <w:rPr/>
      </w:pPr>
      <w:r>
        <w:t>The high centralization of the global foundational software ecosystem stems from three objective factors:</w:t>
      </w:r>
    </w:p>
    <w:p w14:paraId="12402065">
      <w:pPr>
        <w:pStyle w:val="style0"/>
        <w:rPr/>
      </w:pPr>
      <w:r>
        <w:t>First, the barrier of time accumulation. Mainstream foundational software systems have been iterated for more than 50 years. Hundreds of billions of lines of open-source code and tens of millions of global developers have formed a huge ecosystem that cannot be replicated in the short term.</w:t>
      </w:r>
    </w:p>
    <w:p w14:paraId="62093D51">
      <w:pPr>
        <w:pStyle w:val="style0"/>
        <w:rPr/>
      </w:pPr>
      <w:r>
        <w:t>Second, the natural evolution of collaborative languages. Modern computers originated in English-speaking regions, and English has gradually developed into a universal collaborative language for global software engineering, which is a natural result of global division of labor rather than artificially set technological barriers.</w:t>
      </w:r>
    </w:p>
    <w:p w14:paraId="D9BEE74D">
      <w:pPr>
        <w:pStyle w:val="style0"/>
        <w:rPr/>
      </w:pPr>
      <w:r>
        <w:t>Third, the centralization of open-source governance. Core governance seats of major open-source foundations and international technological standard organizations have long been occupied by institutions and personnel from developed economies.</w:t>
      </w:r>
    </w:p>
    <w:p w14:paraId="0C3B39C4">
      <w:pPr>
        <w:pStyle w:val="style0"/>
        <w:rPr/>
      </w:pPr>
      <w:r>
        <w:t xml:space="preserve"> </w:t>
      </w:r>
    </w:p>
    <w:p w14:paraId="E06B4ABC">
      <w:pPr>
        <w:pStyle w:val="style0"/>
        <w:rPr/>
      </w:pPr>
      <w:r>
        <w:t>2.3 Universality of Global Technological Dependence</w:t>
      </w:r>
    </w:p>
    <w:p w14:paraId="31A9ADE3">
      <w:pPr>
        <w:pStyle w:val="style0"/>
        <w:rPr/>
      </w:pPr>
      <w:r>
        <w:t xml:space="preserve"> </w:t>
      </w:r>
    </w:p>
    <w:p w14:paraId="2F9167F2">
      <w:pPr>
        <w:pStyle w:val="style0"/>
        <w:rPr/>
      </w:pPr>
      <w:r>
        <w:t>Except for technologically advanced regions, most economies including the European Union, Japan, South Korea, Southeast Asia and Latin America have not built complete full-stack foundational software systems. They generally adopt the development mode of "reusing mainstream global ecosystems + conducting independent R&amp;D in partial fields". Under the current global division of labor, complete separation from global general-purpose software ecosystems is neither economically feasible nor conducive to industrial collaboration.</w:t>
      </w:r>
    </w:p>
    <w:p w14:paraId="E289C1B9">
      <w:pPr>
        <w:pStyle w:val="style0"/>
        <w:rPr/>
      </w:pPr>
      <w:r>
        <w:t xml:space="preserve"> </w:t>
      </w:r>
    </w:p>
    <w:p w14:paraId="754BFD64">
      <w:pPr>
        <w:pStyle w:val="style0"/>
        <w:rPr/>
      </w:pPr>
      <w:r>
        <w:t>3. Scenario Projection of Global Foundational Software Ecosystem (2026–2031)</w:t>
      </w:r>
    </w:p>
    <w:p w14:paraId="FA9BA9CD">
      <w:pPr>
        <w:pStyle w:val="style0"/>
        <w:rPr/>
      </w:pPr>
      <w:r>
        <w:t xml:space="preserve"> </w:t>
      </w:r>
    </w:p>
    <w:p w14:paraId="A68F0F82">
      <w:pPr>
        <w:pStyle w:val="style0"/>
        <w:rPr/>
      </w:pPr>
      <w:r>
        <w:t>Based on the research hypotheses and the implementation rhythm of existing policies, the development of the global foundational software ecosystem in the next five years is divided into three stages: tentative control period, comprehensive restriction period and pattern solidification period. The ecological changes and industrial impacts are objectively projected.</w:t>
      </w:r>
    </w:p>
    <w:p w14:paraId="A93F78DB">
      <w:pPr>
        <w:pStyle w:val="style0"/>
        <w:rPr/>
      </w:pPr>
      <w:r>
        <w:t xml:space="preserve"> </w:t>
      </w:r>
    </w:p>
    <w:p w14:paraId="A2F86E20">
      <w:pPr>
        <w:pStyle w:val="style0"/>
        <w:rPr/>
      </w:pPr>
      <w:r>
        <w:t>3.1 Stage 1: Tentative Control Period (2026–2027)</w:t>
      </w:r>
    </w:p>
    <w:p w14:paraId="360E04D0">
      <w:pPr>
        <w:pStyle w:val="style0"/>
        <w:rPr/>
      </w:pPr>
      <w:r>
        <w:t xml:space="preserve"> </w:t>
      </w:r>
    </w:p>
    <w:p w14:paraId="251A9058">
      <w:pPr>
        <w:pStyle w:val="style0"/>
        <w:rPr/>
      </w:pPr>
      <w:r>
        <w:t>Core policy measures: Restricting cross-border access to cloud-based AI computing interfaces and commercial large-model APIs, and implementing commercial authorization control over new versions of mainstream AI frameworks; retaining the normal use rights of old versions and basic open-source functions.</w:t>
      </w:r>
    </w:p>
    <w:p w14:paraId="BE90BF43">
      <w:pPr>
        <w:pStyle w:val="style0"/>
        <w:rPr/>
      </w:pPr>
      <w:r>
        <w:t xml:space="preserve"> </w:t>
      </w:r>
    </w:p>
    <w:p w14:paraId="7FE99D07">
      <w:pPr>
        <w:pStyle w:val="style0"/>
        <w:rPr/>
      </w:pPr>
      <w:r>
        <w:t>Industrial impacts: R&amp;D of cutting-edge AI and high-end chip design are significantly constrained; consumer Internet, legacy systems of traditional industries and general application development are basically unaffected.</w:t>
      </w:r>
    </w:p>
    <w:p w14:paraId="71C1A103">
      <w:pPr>
        <w:pStyle w:val="style0"/>
        <w:rPr/>
      </w:pPr>
      <w:r>
        <w:t xml:space="preserve"> </w:t>
      </w:r>
    </w:p>
    <w:p w14:paraId="F2E0518B">
      <w:pPr>
        <w:pStyle w:val="style0"/>
        <w:rPr/>
      </w:pPr>
      <w:r>
        <w:t>Stage characteristics: The industry forms an illusion of "stable operation on the surface while restricted in cutting-edge R&amp;D". Control measures are mainly commercial access restrictions.</w:t>
      </w:r>
    </w:p>
    <w:p w14:paraId="41CC8E8B">
      <w:pPr>
        <w:pStyle w:val="style0"/>
        <w:rPr/>
      </w:pPr>
      <w:r>
        <w:t xml:space="preserve"> </w:t>
      </w:r>
    </w:p>
    <w:p w14:paraId="DB83995C">
      <w:pPr>
        <w:pStyle w:val="style0"/>
        <w:rPr/>
      </w:pPr>
      <w:r>
        <w:t>3.2 Stage 2: Comprehensive Restriction Period (2028–2029)</w:t>
      </w:r>
    </w:p>
    <w:p w14:paraId="4A5362B4">
      <w:pPr>
        <w:pStyle w:val="style0"/>
        <w:rPr/>
      </w:pPr>
      <w:r>
        <w:t xml:space="preserve"> </w:t>
      </w:r>
    </w:p>
    <w:p w14:paraId="0A5A5FD9">
      <w:pPr>
        <w:pStyle w:val="style0"/>
        <w:rPr/>
      </w:pPr>
      <w:r>
        <w:t>Core policy measures: Terminating technical updates and after-sales support for some commercial foundational software; restricting non-local developers from participating in the governance of core open-source projects; raising the admission threshold for papers in top international technical conferences and academic journals.</w:t>
      </w:r>
    </w:p>
    <w:p w14:paraId="EFF1B908">
      <w:pPr>
        <w:pStyle w:val="style0"/>
        <w:rPr/>
      </w:pPr>
      <w:r>
        <w:t xml:space="preserve"> </w:t>
      </w:r>
    </w:p>
    <w:p w14:paraId="666FB5DC">
      <w:pPr>
        <w:pStyle w:val="style0"/>
        <w:rPr/>
      </w:pPr>
      <w:r>
        <w:t>Industrial impacts: The progress of R&amp;D in high-end manufacturing, advanced process chips and cutting-edge algorithms slows down significantly. Long-term failure to iterate legacy software systems leads to the accumulation of potential security vulnerabilities, and homogeneous competition in the application layer intensifies continuously.</w:t>
      </w:r>
    </w:p>
    <w:p w14:paraId="0B4051E6">
      <w:pPr>
        <w:pStyle w:val="style0"/>
        <w:rPr/>
      </w:pPr>
      <w:r>
        <w:t xml:space="preserve"> </w:t>
      </w:r>
    </w:p>
    <w:p w14:paraId="7BF023B0">
      <w:pPr>
        <w:pStyle w:val="style0"/>
        <w:rPr/>
      </w:pPr>
      <w:r>
        <w:t>Stage characteristics: Control measures evolve from "version restriction" to "ecological isolation", and technological constraints cover the entire industrial chain.</w:t>
      </w:r>
    </w:p>
    <w:p w14:paraId="A3E3A28A">
      <w:pPr>
        <w:pStyle w:val="style0"/>
        <w:rPr/>
      </w:pPr>
      <w:r>
        <w:t xml:space="preserve"> </w:t>
      </w:r>
    </w:p>
    <w:p w14:paraId="8D6D9D59">
      <w:pPr>
        <w:pStyle w:val="style0"/>
        <w:rPr/>
      </w:pPr>
      <w:r>
        <w:t>3.3 Stage 3: Pattern Solidification Period (2030–2031)</w:t>
      </w:r>
    </w:p>
    <w:p w14:paraId="F3166A71">
      <w:pPr>
        <w:pStyle w:val="style0"/>
        <w:rPr/>
      </w:pPr>
      <w:r>
        <w:t xml:space="preserve"> </w:t>
      </w:r>
    </w:p>
    <w:p w14:paraId="836A2FDD">
      <w:pPr>
        <w:pStyle w:val="style0"/>
        <w:rPr/>
      </w:pPr>
      <w:r>
        <w:t>Core policy measures: Promoting the establishment of regional digital technology alliances and exclusive technological standard systems; further tightening cross-border exchanges on basic fundamental theories and core algorithms.</w:t>
      </w:r>
    </w:p>
    <w:p w14:paraId="3E4C95B3">
      <w:pPr>
        <w:pStyle w:val="style0"/>
        <w:rPr/>
      </w:pPr>
      <w:r>
        <w:t xml:space="preserve"> </w:t>
      </w:r>
    </w:p>
    <w:p w14:paraId="9D0BE5EA">
      <w:pPr>
        <w:pStyle w:val="style0"/>
        <w:rPr/>
      </w:pPr>
      <w:r>
        <w:t>Industrial impacts: Independent technological paradigms are gradually formed in different regions, and the cost of cross-system compatibility rises sharply. Economies relying on external ecosystems for a long time gradually lose the capability of original innovation at the foundational layer.</w:t>
      </w:r>
    </w:p>
    <w:p w14:paraId="646F10F3">
      <w:pPr>
        <w:pStyle w:val="style0"/>
        <w:rPr/>
      </w:pPr>
      <w:r>
        <w:t xml:space="preserve"> </w:t>
      </w:r>
    </w:p>
    <w:p w14:paraId="2F978782">
      <w:pPr>
        <w:pStyle w:val="style0"/>
        <w:rPr/>
      </w:pPr>
      <w:r>
        <w:t>Stage characteristics: The global software ecosystem evolves from "integrated division of labor" to "coexistence of multiple regional paradigms", and technological gaps are gradually solidified.</w:t>
      </w:r>
    </w:p>
    <w:p w14:paraId="6BF7EE81">
      <w:pPr>
        <w:pStyle w:val="style0"/>
        <w:rPr/>
      </w:pPr>
      <w:r>
        <w:t xml:space="preserve"> </w:t>
      </w:r>
    </w:p>
    <w:p w14:paraId="62B31867">
      <w:pPr>
        <w:pStyle w:val="style0"/>
        <w:rPr/>
      </w:pPr>
      <w:r>
        <w:t>3.4 Sensitivity Analysis of Scenarios</w:t>
      </w:r>
    </w:p>
    <w:p w14:paraId="0AA8A833">
      <w:pPr>
        <w:pStyle w:val="style0"/>
        <w:rPr/>
      </w:pPr>
      <w:r>
        <w:t xml:space="preserve"> </w:t>
      </w:r>
    </w:p>
    <w:p w14:paraId="1E01DF71">
      <w:pPr>
        <w:pStyle w:val="style0"/>
        <w:rPr/>
      </w:pPr>
      <w:r>
        <w:t>If two unexpected scenarios occur in the future, namely the launch of disruptive global technological revolutions (such as new computing architectures) and the comprehensive easing of geopolitical policies, the evolution rhythm of the above stages will be delayed or weakened accordingly. The projection conclusions of this paper are only applicable to the baseline scenario of "gradual tightening of policies".</w:t>
      </w:r>
    </w:p>
    <w:p w14:paraId="11AB1182">
      <w:pPr>
        <w:pStyle w:val="style0"/>
        <w:rPr/>
      </w:pPr>
      <w:r>
        <w:t xml:space="preserve"> </w:t>
      </w:r>
    </w:p>
    <w:p w14:paraId="20E2446C">
      <w:pPr>
        <w:pStyle w:val="style0"/>
        <w:rPr/>
      </w:pPr>
      <w:r>
        <w:t>4. Comparative Analysis of Software Independent Development Models among Major Global Economies</w:t>
      </w:r>
    </w:p>
    <w:p w14:paraId="688449B1">
      <w:pPr>
        <w:pStyle w:val="style0"/>
        <w:rPr/>
      </w:pPr>
      <w:r>
        <w:t xml:space="preserve"> </w:t>
      </w:r>
    </w:p>
    <w:p w14:paraId="75BC5294">
      <w:pPr>
        <w:pStyle w:val="style0"/>
        <w:rPr/>
      </w:pPr>
      <w:r>
        <w:t>Four representative development models are selected for comparative analysis from five dimensions: technological route, ecological strategy, major advantages, core risks and adaptive endowments (see Table 2). All evaluations are objective assessments of operational efficiency without qualitative judgment on the superiority of countries or models.</w:t>
      </w:r>
    </w:p>
    <w:p w14:paraId="F6958527">
      <w:pPr>
        <w:pStyle w:val="style0"/>
        <w:rPr/>
      </w:pPr>
      <w:r>
        <w:t xml:space="preserve"> </w:t>
      </w:r>
    </w:p>
    <w:p w14:paraId="FDA2703B">
      <w:pPr>
        <w:pStyle w:val="style0"/>
        <w:rPr/>
      </w:pPr>
      <w:r>
        <w:t>Table 2 Comparison Matrix of Four Global Software Independent Development Models</w:t>
      </w:r>
    </w:p>
    <w:p w14:paraId="711D8C54">
      <w:pPr>
        <w:pStyle w:val="style0"/>
        <w:rPr/>
      </w:pPr>
      <w:r>
        <w:t xml:space="preserve"> </w:t>
      </w:r>
    </w:p>
    <w:p w14:paraId="D7D4BA4E">
      <w:pPr>
        <w:pStyle w:val="style0"/>
        <w:rPr/>
      </w:pPr>
      <w:r>
        <w:t xml:space="preserve">Model Type Representative Economies Core Technological Route Ecological Strategy Major Advantages Core Risks Adaptive Endowments </w:t>
      </w:r>
    </w:p>
    <w:p w14:paraId="73E01FF1">
      <w:pPr>
        <w:pStyle w:val="style0"/>
        <w:rPr/>
      </w:pPr>
      <w:r>
        <w:t xml:space="preserve">Fork Innovation Model European Union Adopting mainstream global foundations and conducting regional fork innovation for industrial software and open-source frameworks Deep integration into the global ecosystem and construction of regional standards Strong collaboration and low compliance costs Remaining technological dependence at the general foundational layer Strong industrial foundation and high reliance on global trade </w:t>
      </w:r>
    </w:p>
    <w:p w14:paraId="992BA35A">
      <w:pPr>
        <w:pStyle w:val="style0"/>
        <w:rPr/>
      </w:pPr>
      <w:r>
        <w:t xml:space="preserve">Full Import Substitution Model Russia In-depth customization based on open-source kernels and full replacement of external software in government and enterprise sectors Building an independent local ecosystem and weakening global linkage Controllable security in key fields Weak ecosystem and disrupted international collaboration Limited economic scale and priority on security objectives </w:t>
      </w:r>
    </w:p>
    <w:p w14:paraId="7BC64F08">
      <w:pPr>
        <w:pStyle w:val="style0"/>
        <w:rPr/>
      </w:pPr>
      <w:r>
        <w:t xml:space="preserve">Segmented Track Specialization Model Japan, South Korea Adopting mainstream global ecosystems for general foundations and conducting independent R&amp;D in segmented fields such as embedded software, industrial control and semiconductor tools Competing differentially in segmented fields based on the global general-purpose ecosystem High input-output ratio and outstanding competitiveness in single points Weak risk resistance of general foundational layers Strong manufacturing industry and prominent resource concentration capability </w:t>
      </w:r>
    </w:p>
    <w:p w14:paraId="8F0ED20E">
      <w:pPr>
        <w:pStyle w:val="style0"/>
        <w:rPr/>
      </w:pPr>
      <w:r>
        <w:t xml:space="preserve">Full Dependence &amp; Outsourcing Model India Abandoning foundational R&amp;D and focusing on application development and software outsourcing Full integration into the global ecosystem and participating in international division of labor relying on human resources Large short-term industrial scale and sufficient employment No technological discourse power and extremely low risk resistance Low labor costs and advantages in English collaboration </w:t>
      </w:r>
    </w:p>
    <w:p w14:paraId="C7AC1402">
      <w:pPr>
        <w:pStyle w:val="style0"/>
        <w:rPr/>
      </w:pPr>
      <w:r>
        <w:t xml:space="preserve">Data source: National digital industry policy reports; Gartner. Global Software Industry Report 2025, 2025       </w:t>
      </w:r>
    </w:p>
    <w:p w14:paraId="A57B01E5">
      <w:pPr>
        <w:pStyle w:val="style0"/>
        <w:rPr/>
      </w:pPr>
      <w:r>
        <w:t xml:space="preserve"> </w:t>
      </w:r>
    </w:p>
    <w:p w14:paraId="E2F4DCC5">
      <w:pPr>
        <w:pStyle w:val="style0"/>
        <w:rPr/>
      </w:pPr>
      <w:r>
        <w:t>Summary of Models</w:t>
      </w:r>
    </w:p>
    <w:p w14:paraId="731083AB">
      <w:pPr>
        <w:pStyle w:val="style0"/>
        <w:rPr/>
      </w:pPr>
      <w:r>
        <w:t xml:space="preserve"> </w:t>
      </w:r>
    </w:p>
    <w:p w14:paraId="44DA3805">
      <w:pPr>
        <w:pStyle w:val="style0"/>
        <w:rPr/>
      </w:pPr>
      <w:r>
        <w:t>All four routes are rational choices made by various economies based on their industrial foundations, geopolitical environments and development objectives, and there is no absolutely optimal model. Developing economies need to learn from others' strengths and design adaptive development paths according to their own strategic goals.</w:t>
      </w:r>
    </w:p>
    <w:p w14:paraId="DEDBDDFE">
      <w:pPr>
        <w:pStyle w:val="style0"/>
        <w:rPr/>
      </w:pPr>
      <w:r>
        <w:t xml:space="preserve"> </w:t>
      </w:r>
    </w:p>
    <w:p w14:paraId="D3327CF5">
      <w:pPr>
        <w:pStyle w:val="style0"/>
        <w:rPr/>
      </w:pPr>
      <w:r>
        <w:t>5. Two-Way Risk Assessment of Three Development Paths</w:t>
      </w:r>
    </w:p>
    <w:p w14:paraId="597510DC">
      <w:pPr>
        <w:pStyle w:val="style0"/>
        <w:rPr/>
      </w:pPr>
      <w:r>
        <w:t xml:space="preserve"> </w:t>
      </w:r>
    </w:p>
    <w:p w14:paraId="4ABD13DF">
      <w:pPr>
        <w:pStyle w:val="style0"/>
        <w:rPr/>
      </w:pPr>
      <w:r>
        <w:t>Combined with the current situation of China's digital industry, three typical development paths are set. A comprehensive assessment is carried out from five unified dimensions: technological risk, industrial risk, security risk, international collaboration risk and short-term economic cost (see Table 3).</w:t>
      </w:r>
    </w:p>
    <w:p w14:paraId="7593B4FC">
      <w:pPr>
        <w:pStyle w:val="style0"/>
        <w:rPr/>
      </w:pPr>
      <w:r>
        <w:t xml:space="preserve"> </w:t>
      </w:r>
    </w:p>
    <w:p w14:paraId="58BDE308">
      <w:pPr>
        <w:pStyle w:val="style0"/>
        <w:rPr/>
      </w:pPr>
      <w:r>
        <w:t>Table 3 Risk Assessment Matrix for Three Development Paths (2026–2031)</w:t>
      </w:r>
    </w:p>
    <w:p w14:paraId="F529071A">
      <w:pPr>
        <w:pStyle w:val="style0"/>
        <w:rPr/>
      </w:pPr>
      <w:r>
        <w:t xml:space="preserve"> </w:t>
      </w:r>
    </w:p>
    <w:p w14:paraId="11E6B747">
      <w:pPr>
        <w:pStyle w:val="style0"/>
        <w:rPr/>
      </w:pPr>
      <w:r>
        <w:t xml:space="preserve">Assessment Dimension Path A: Continuing Technological Dependence Path B: Radical Full Closure Path C: Differentiated Phased Transformation </w:t>
      </w:r>
    </w:p>
    <w:p w14:paraId="3C05501D">
      <w:pPr>
        <w:pStyle w:val="style0"/>
        <w:rPr/>
      </w:pPr>
      <w:r>
        <w:t xml:space="preserve">Technological Risk High (permanent technological lock-in) Medium (slowed overall technological iteration) Low (avoiding lock-in through layered strategies) </w:t>
      </w:r>
    </w:p>
    <w:p w14:paraId="9BFABFAF">
      <w:pPr>
        <w:pStyle w:val="style0"/>
        <w:rPr/>
      </w:pPr>
      <w:r>
        <w:t xml:space="preserve">Industrial Risk Medium (intensified homogeneous competition in application layer) High (disruption of global industrial chain) Low (smooth transition via dual-track model) </w:t>
      </w:r>
    </w:p>
    <w:p w14:paraId="57938E6F">
      <w:pPr>
        <w:pStyle w:val="style0"/>
        <w:rPr/>
      </w:pPr>
      <w:r>
        <w:t xml:space="preserve">Security Risk High (hidden dangers in critical infrastructure) Low (realizing technological independence and controllability) Low (comprehensive security of core foundations) </w:t>
      </w:r>
    </w:p>
    <w:p w14:paraId="B6DD9394">
      <w:pPr>
        <w:pStyle w:val="style0"/>
        <w:rPr/>
      </w:pPr>
      <w:r>
        <w:t xml:space="preserve">International Collaboration Risk Low (normal participation in global division of labor) High (isolation in academia and trade) Medium (maintaining global collaboration in application layer) </w:t>
      </w:r>
    </w:p>
    <w:p w14:paraId="7136B4A8">
      <w:pPr>
        <w:pStyle w:val="style0"/>
        <w:rPr/>
      </w:pPr>
      <w:r>
        <w:t xml:space="preserve">Short-Term Economic Cost Low (using existing systems without large additional investment) Extremely high (full-stack reconstruction and ecosystem reconstruction) Medium (targeted long-term investment) </w:t>
      </w:r>
    </w:p>
    <w:p w14:paraId="9D365B7D">
      <w:pPr>
        <w:pStyle w:val="style0"/>
        <w:rPr/>
      </w:pPr>
      <w:r>
        <w:t xml:space="preserve">Comprehensive Judgment Stable operation in the short term and passive situation in the long run Solving security problems but losing innovation vitality Lowest comprehensive risks and balancing security and development </w:t>
      </w:r>
    </w:p>
    <w:p w14:paraId="01961E5E">
      <w:pPr>
        <w:pStyle w:val="style0"/>
        <w:rPr/>
      </w:pPr>
      <w:r>
        <w:t xml:space="preserve"> </w:t>
      </w:r>
    </w:p>
    <w:p w14:paraId="6D90B55F">
      <w:pPr>
        <w:pStyle w:val="style0"/>
        <w:rPr/>
      </w:pPr>
      <w:r>
        <w:t>5.1 Path A: Continuing Existing Technological Dependence</w:t>
      </w:r>
    </w:p>
    <w:p w14:paraId="4E54B2A8">
      <w:pPr>
        <w:pStyle w:val="style0"/>
        <w:rPr/>
      </w:pPr>
      <w:r>
        <w:t xml:space="preserve"> </w:t>
      </w:r>
    </w:p>
    <w:p w14:paraId="21F3EACB">
      <w:pPr>
        <w:pStyle w:val="style0"/>
        <w:rPr/>
      </w:pPr>
      <w:r>
        <w:t>There is no need to adjust the industrial structure or make large additional investment in the short term, and consumer Internet and general application businesses can operate normally. However, in the medium and long term, it will gradually fall into three risks: technological lock-in, downgrade of the value chain and homogenization of talent structure, and the capability of original innovation at the foundational layer will continue to degrade.</w:t>
      </w:r>
    </w:p>
    <w:p w14:paraId="208D091D">
      <w:pPr>
        <w:pStyle w:val="style0"/>
        <w:rPr/>
      </w:pPr>
      <w:r>
        <w:t xml:space="preserve"> </w:t>
      </w:r>
    </w:p>
    <w:p w14:paraId="1A4BC276">
      <w:pPr>
        <w:pStyle w:val="style0"/>
        <w:rPr/>
      </w:pPr>
      <w:r>
        <w:t>5.2 Path B: Radical Full Closure</w:t>
      </w:r>
    </w:p>
    <w:p w14:paraId="AE639159">
      <w:pPr>
        <w:pStyle w:val="style0"/>
        <w:rPr/>
      </w:pPr>
      <w:r>
        <w:t xml:space="preserve"> </w:t>
      </w:r>
    </w:p>
    <w:p w14:paraId="B2295D32">
      <w:pPr>
        <w:pStyle w:val="style0"/>
        <w:rPr/>
      </w:pPr>
      <w:r>
        <w:t>Technological independence and controllability in key fields can be realized in the short term to avoid external technological constraints. Nevertheless, it will trigger intellectual property compliance risks, isolation from the global industrial chain, brain drain of top talents and slowed technological iteration, which is inconsistent with the reality of global industrial division of labor.</w:t>
      </w:r>
    </w:p>
    <w:p w14:paraId="EB143D5D">
      <w:pPr>
        <w:pStyle w:val="style0"/>
        <w:rPr/>
      </w:pPr>
      <w:r>
        <w:t xml:space="preserve"> </w:t>
      </w:r>
    </w:p>
    <w:p w14:paraId="EDF28DC8">
      <w:pPr>
        <w:pStyle w:val="style0"/>
        <w:rPr/>
      </w:pPr>
      <w:r>
        <w:t>5.3 Path C: Differentiated Phased Transformation (Optimal Path)</w:t>
      </w:r>
    </w:p>
    <w:p w14:paraId="63E65F25">
      <w:pPr>
        <w:pStyle w:val="style0"/>
        <w:rPr/>
      </w:pPr>
      <w:r>
        <w:t xml:space="preserve"> </w:t>
      </w:r>
    </w:p>
    <w:p w14:paraId="7C0CFB68">
      <w:pPr>
        <w:pStyle w:val="style0"/>
        <w:rPr/>
      </w:pPr>
      <w:r>
        <w:t>Adopting differentiated strategies according to technological layers and application scenarios can not only consolidate the foundational security base, but also retain the capability of global industrial collaboration. It is currently the path with the lowest comprehensive risks and the strongest industrial adaptability.</w:t>
      </w:r>
    </w:p>
    <w:p w14:paraId="0589CD82">
      <w:pPr>
        <w:pStyle w:val="style0"/>
        <w:rPr/>
      </w:pPr>
      <w:r>
        <w:t xml:space="preserve"> </w:t>
      </w:r>
    </w:p>
    <w:p w14:paraId="10ACD674">
      <w:pPr>
        <w:pStyle w:val="style0"/>
        <w:rPr/>
      </w:pPr>
      <w:r>
        <w:t>6. Differentiated Transformation Strategy and Five-Year Implementation System</w:t>
      </w:r>
    </w:p>
    <w:p w14:paraId="63B0F5BD">
      <w:pPr>
        <w:pStyle w:val="style0"/>
        <w:rPr/>
      </w:pPr>
      <w:r>
        <w:t xml:space="preserve"> </w:t>
      </w:r>
    </w:p>
    <w:p w14:paraId="72D02D2A">
      <w:pPr>
        <w:pStyle w:val="style0"/>
        <w:rPr/>
      </w:pPr>
      <w:r>
        <w:t>6.1 Overall Strategic Framework</w:t>
      </w:r>
    </w:p>
    <w:p w14:paraId="2EB89A55">
      <w:pPr>
        <w:pStyle w:val="style0"/>
        <w:rPr/>
      </w:pPr>
      <w:r>
        <w:t xml:space="preserve"> </w:t>
      </w:r>
    </w:p>
    <w:p w14:paraId="ABE3FD2D">
      <w:pPr>
        <w:pStyle w:val="style0"/>
        <w:rPr/>
      </w:pPr>
      <w:r>
        <w:t>Adhere to the general principle of four-layer classification and dual-cycle of domestic and global markets:</w:t>
      </w:r>
    </w:p>
    <w:p w14:paraId="77584D0E">
      <w:pPr>
        <w:pStyle w:val="style0"/>
        <w:rPr/>
      </w:pPr>
      <w:r>
        <w:t xml:space="preserve"> </w:t>
      </w:r>
    </w:p>
    <w:p w14:paraId="0229B1C3">
      <w:pPr>
        <w:pStyle w:val="style0"/>
        <w:rPr/>
      </w:pPr>
      <w:r>
        <w:t>1. Layer 1 (instruction set / microarchitecture) + Layer 2 (compiler / toolchain): Implement full-stack independent R&amp;D. Managed as major national projects, these modules give priority to serving domestic key scenarios without taking short-term commercial profits as the objective.</w:t>
      </w:r>
    </w:p>
    <w:p w14:paraId="AF3CFF9E">
      <w:pPr>
        <w:pStyle w:val="style0"/>
        <w:rPr/>
      </w:pPr>
      <w:r>
        <w:t>2. Layer 3 (programming language / AI framework): Adopt the model of fork innovation + parallel systems. On the one hand, conduct compliant iterative development within mainstream global open-source systems; on the other hand, build Chinese-native parallel systems for government affairs, education, industry and classified scenarios. The English programming system adapts to cross-regional global collaboration, while the Chinese-native system is used to lower local learning thresholds and ensure the security of dedicated scenarios. The two systems operate in parallel for different scenarios with no distinction between superiority and inferiority.</w:t>
      </w:r>
    </w:p>
    <w:p w14:paraId="29EDBC44">
      <w:pPr>
        <w:pStyle w:val="style0"/>
        <w:rPr/>
      </w:pPr>
      <w:r>
        <w:t>3. Layer 4 (upper-layer applications): Fully integrate into the global ecosystem to maintain normal collaboration of digital trade and international services.</w:t>
      </w:r>
    </w:p>
    <w:p w14:paraId="953026FC">
      <w:pPr>
        <w:pStyle w:val="style0"/>
        <w:rPr/>
      </w:pPr>
      <w:r>
        <w:t xml:space="preserve"> </w:t>
      </w:r>
    </w:p>
    <w:p w14:paraId="143AF7C9">
      <w:pPr>
        <w:pStyle w:val="style0"/>
        <w:rPr/>
      </w:pPr>
      <w:r>
        <w:t>6.2 Five-Year Phased Implementation Path and Quantitative Indicators (2026–2031)</w:t>
      </w:r>
    </w:p>
    <w:p w14:paraId="5FC149C8">
      <w:pPr>
        <w:pStyle w:val="style0"/>
        <w:rPr/>
      </w:pPr>
      <w:r>
        <w:t xml:space="preserve"> </w:t>
      </w:r>
    </w:p>
    <w:p w14:paraId="3C72CD7D">
      <w:pPr>
        <w:pStyle w:val="style0"/>
        <w:rPr/>
      </w:pPr>
      <w:r>
        <w:t>Table 4 Phased Implementation Plan and Quantitative Assessment Indicators</w:t>
      </w:r>
    </w:p>
    <w:p w14:paraId="6145DB82">
      <w:pPr>
        <w:pStyle w:val="style0"/>
        <w:rPr/>
      </w:pPr>
      <w:r>
        <w:t xml:space="preserve"> </w:t>
      </w:r>
    </w:p>
    <w:p w14:paraId="B811E1B3">
      <w:pPr>
        <w:pStyle w:val="style0"/>
        <w:rPr/>
      </w:pPr>
      <w:r>
        <w:t xml:space="preserve">Stage Time Period Core Tasks Quantitative Assessment Indicators Operational Rules for Scenarios </w:t>
      </w:r>
    </w:p>
    <w:p w14:paraId="F1C3E012">
      <w:pPr>
        <w:pStyle w:val="style0"/>
        <w:rPr/>
      </w:pPr>
      <w:r>
        <w:t xml:space="preserve">Foundation &amp; Pilot Period 2026–2027 Completing stable prototypes of independent instruction sets, self-developed compilers and microkernel operating systems; sorting out open-source compliance boundaries; launching pilot operation in classified and government internal networks 100% completeness of foundational prototype functions; 100% coverage of compliance review; stable operation rate of pilot systems ≥ 99.5% Isolated operation in internal networks and adoption of global systems in public networks with overall dual-track operation </w:t>
      </w:r>
    </w:p>
    <w:p w14:paraId="7C5E34D4">
      <w:pPr>
        <w:pStyle w:val="style0"/>
        <w:rPr/>
      </w:pPr>
      <w:r>
        <w:t xml:space="preserve">Ecosystem Expansion Period 2028–2029 Completing the migration of foundational technologies in key industries; building local open-source communities; promoting dual-track teaching of programming Domestic substitution rate of government and state-owned enterprises ≥ 80%; number of local open-source components ≥ 1,000; 100% coverage of dual-track teaching in universities Adopting self-developed systems in industrial internal networks and being compatible with global general formats for external interfaces </w:t>
      </w:r>
    </w:p>
    <w:p w14:paraId="614B5DF4">
      <w:pPr>
        <w:pStyle w:val="style0"/>
        <w:rPr/>
      </w:pPr>
      <w:r>
        <w:t xml:space="preserve">Paradigm Formation Period 2030–2031 Making the performance of self-developed foundational technologies reach the mainstream international level; proposing independent technological standards in emerging tracks; participating in the formulation of global rules Performance of core modules reaching more than 95% of the international mainstream; independent standards incorporated into regional technological specifications Forming a stable pattern of "independent core foundations, dual-track general scenarios and globalized applications" </w:t>
      </w:r>
    </w:p>
    <w:p w14:paraId="08130BFB">
      <w:pPr>
        <w:pStyle w:val="style0"/>
        <w:rPr/>
      </w:pPr>
      <w:r>
        <w:t xml:space="preserve"> </w:t>
      </w:r>
    </w:p>
    <w:p w14:paraId="DB1314DF">
      <w:pPr>
        <w:pStyle w:val="style0"/>
        <w:rPr/>
      </w:pPr>
      <w:r>
        <w:t>6.3 Division of Rights and Obligations of Multiple Stakeholders</w:t>
      </w:r>
    </w:p>
    <w:p w14:paraId="8EF93853">
      <w:pPr>
        <w:pStyle w:val="style0"/>
        <w:rPr/>
      </w:pPr>
      <w:r>
        <w:t xml:space="preserve"> </w:t>
      </w:r>
    </w:p>
    <w:p w14:paraId="1E868E8E">
      <w:pPr>
        <w:pStyle w:val="style0"/>
        <w:rPr/>
      </w:pPr>
      <w:r>
        <w:t>1. Government: Coordinating top-level development planning, setting up long-term special R&amp;D funds, improving laws and regulations on open source and intellectual property rights, and guiding the transformation of traditional industries.</w:t>
      </w:r>
    </w:p>
    <w:p w14:paraId="AB4C9E81">
      <w:pPr>
        <w:pStyle w:val="style0"/>
        <w:rPr/>
      </w:pPr>
      <w:r>
        <w:t>2. Enterprises: Leading enterprises undertaking core R&amp;D of foundational technologies, while small and medium-sized enterprises participating in the adaptation and application development of industrial components.</w:t>
      </w:r>
    </w:p>
    <w:p w14:paraId="C45BEFDF">
      <w:pPr>
        <w:pStyle w:val="style0"/>
        <w:rPr/>
      </w:pPr>
      <w:r>
        <w:t>3. Universities &amp; Research Institutes: Carrying out theoretical research on foundational technologies and building a dual-track talent training system.</w:t>
      </w:r>
    </w:p>
    <w:p w14:paraId="E2EF6169">
      <w:pPr>
        <w:pStyle w:val="style0"/>
        <w:rPr/>
      </w:pPr>
      <w:r>
        <w:t>4. Open-source Communities: Maintaining local technological ecosystems and participating in global open-source collaboration in compliance with international rules.</w:t>
      </w:r>
    </w:p>
    <w:p w14:paraId="7D7ED291">
      <w:pPr>
        <w:pStyle w:val="style0"/>
        <w:rPr/>
      </w:pPr>
      <w:r>
        <w:t xml:space="preserve"> </w:t>
      </w:r>
    </w:p>
    <w:p w14:paraId="238B9CAF">
      <w:pPr>
        <w:pStyle w:val="style0"/>
        <w:rPr/>
      </w:pPr>
      <w:r>
        <w:t>6.4 Four-Dimensional Supporting Guarantee System</w:t>
      </w:r>
    </w:p>
    <w:p w14:paraId="6339F68C">
      <w:pPr>
        <w:pStyle w:val="style0"/>
        <w:rPr/>
      </w:pPr>
      <w:r>
        <w:t xml:space="preserve"> </w:t>
      </w:r>
    </w:p>
    <w:p w14:paraId="3E5668F5">
      <w:pPr>
        <w:pStyle w:val="style0"/>
        <w:rPr/>
      </w:pPr>
      <w:r>
        <w:t>1. Compliance Guarantee: Establishing a professional legal team to dynamically study the rules of mainstream open-source agreements such as GPL, Apache and MIT, and ensuring that fork innovation and full-stack independent R&amp;D comply with international intellectual property conventions.</w:t>
      </w:r>
    </w:p>
    <w:p w14:paraId="CDA29A23">
      <w:pPr>
        <w:pStyle w:val="style0"/>
        <w:rPr/>
      </w:pPr>
      <w:r>
        <w:t>2. Talent Guarantee: Implementing hierarchical talent training strategies: top talents engaged in foundational technologies are connected to global academic networks, while local application development talents are trained based on the Chinese-native programming system.</w:t>
      </w:r>
    </w:p>
    <w:p w14:paraId="D0A571B3">
      <w:pPr>
        <w:pStyle w:val="style0"/>
        <w:rPr/>
      </w:pPr>
      <w:r>
        <w:t>3. Ecosystem Guarantee: Setting up open-source incentive mechanisms to guide developers to participate in the construction of local systems; retaining lightweight compatibility layers to fundamentally avoid the formation of technological isolated islands.</w:t>
      </w:r>
    </w:p>
    <w:p w14:paraId="39AED02C">
      <w:pPr>
        <w:pStyle w:val="style0"/>
        <w:rPr/>
      </w:pPr>
      <w:r>
        <w:t>4. Interest Diversion: Guiding enterprises originally engaged in agency and operation of foreign technologies to transform into service providers for domestic systems through policy subsidies to resolve resistance to industrial transformation.</w:t>
      </w:r>
    </w:p>
    <w:p w14:paraId="BF0177D9">
      <w:pPr>
        <w:pStyle w:val="style0"/>
        <w:rPr/>
      </w:pPr>
      <w:r>
        <w:t xml:space="preserve"> </w:t>
      </w:r>
    </w:p>
    <w:p w14:paraId="1F5EB595">
      <w:pPr>
        <w:pStyle w:val="style0"/>
        <w:rPr/>
      </w:pPr>
      <w:r>
        <w:t>7. Conclusions, Research Limitations and Future Prospects</w:t>
      </w:r>
    </w:p>
    <w:p w14:paraId="7109C8CC">
      <w:pPr>
        <w:pStyle w:val="style0"/>
        <w:rPr/>
      </w:pPr>
      <w:r>
        <w:t xml:space="preserve"> </w:t>
      </w:r>
    </w:p>
    <w:p w14:paraId="CB40F566">
      <w:pPr>
        <w:pStyle w:val="style0"/>
        <w:rPr/>
      </w:pPr>
      <w:r>
        <w:t>7.1 Core Conclusions</w:t>
      </w:r>
    </w:p>
    <w:p w14:paraId="C9888F12">
      <w:pPr>
        <w:pStyle w:val="style0"/>
        <w:rPr/>
      </w:pPr>
      <w:r>
        <w:t xml:space="preserve"> </w:t>
      </w:r>
    </w:p>
    <w:p w14:paraId="E91D797A">
      <w:pPr>
        <w:pStyle w:val="style0"/>
        <w:rPr/>
      </w:pPr>
      <w:r>
        <w:t>First, the centralized pattern of the global foundational software ecosystem is the joint result of long-term technological evolution, network effects and historical endowments. Gradually tightened technological control policies in recent years have further amplified the risks of technological dependence for developing economies, and this problem is common worldwide.</w:t>
      </w:r>
    </w:p>
    <w:p w14:paraId="CB6D78DF">
      <w:pPr>
        <w:pStyle w:val="style0"/>
        <w:rPr/>
      </w:pPr>
      <w:r>
        <w:t xml:space="preserve"> </w:t>
      </w:r>
    </w:p>
    <w:p w14:paraId="D363A105">
      <w:pPr>
        <w:pStyle w:val="style0"/>
        <w:rPr/>
      </w:pPr>
      <w:r>
        <w:t>Second, English serves as the universal collaborative language for global programming, while Chinese is applied to local dedicated scenarios. The dual-track parallel model conforms to the development rules of global software engineering.</w:t>
      </w:r>
    </w:p>
    <w:p w14:paraId="64951C0C">
      <w:pPr>
        <w:pStyle w:val="style0"/>
        <w:rPr/>
      </w:pPr>
      <w:r>
        <w:t xml:space="preserve"> </w:t>
      </w:r>
    </w:p>
    <w:p w14:paraId="480837E6">
      <w:pPr>
        <w:pStyle w:val="style0"/>
        <w:rPr/>
      </w:pPr>
      <w:r>
        <w:t>Third, long-term adherence to technological dependence will lead to permanent technological lock-in, while radical full closure will disrupt global industrial collaboration. Differentiated phased transformation and construction of a dual-cycle system integrating domestic and global markets is the optimal path to balance technological security, industrial development and international compliance.</w:t>
      </w:r>
    </w:p>
    <w:p w14:paraId="F534E2B4">
      <w:pPr>
        <w:pStyle w:val="style0"/>
        <w:rPr/>
      </w:pPr>
      <w:r>
        <w:t xml:space="preserve"> </w:t>
      </w:r>
    </w:p>
    <w:p w14:paraId="0FFC1024">
      <w:pPr>
        <w:pStyle w:val="style0"/>
        <w:rPr/>
      </w:pPr>
      <w:r>
        <w:t>Fourth, the period from 2026 to 2027 is a critical window for strategic adjustment. Completing the construction of foundational prototypes and small-scale pilot applications within three years is a necessary measure to avoid systematic medium and long-term risks.</w:t>
      </w:r>
    </w:p>
    <w:p w14:paraId="3F6D93C9">
      <w:pPr>
        <w:pStyle w:val="style0"/>
        <w:rPr/>
      </w:pPr>
      <w:r>
        <w:t xml:space="preserve"> </w:t>
      </w:r>
    </w:p>
    <w:p w14:paraId="54BCFEB3">
      <w:pPr>
        <w:pStyle w:val="style0"/>
        <w:rPr/>
      </w:pPr>
      <w:r>
        <w:t>7.2 Research Limitations</w:t>
      </w:r>
    </w:p>
    <w:p w14:paraId="83714BE6">
      <w:pPr>
        <w:pStyle w:val="style0"/>
        <w:rPr/>
      </w:pPr>
      <w:r>
        <w:t xml:space="preserve"> </w:t>
      </w:r>
    </w:p>
    <w:p w14:paraId="B4E116C9">
      <w:pPr>
        <w:pStyle w:val="style0"/>
        <w:rPr/>
      </w:pPr>
      <w:r>
        <w:t>First, this paper carries out scenario projection based on the baseline scenario of "gradual tightening of policies". If disruptive changes occur to the global geopolitical pattern or technological revolution, the evolution path will be adjusted accordingly.</w:t>
      </w:r>
    </w:p>
    <w:p w14:paraId="37D6A643">
      <w:pPr>
        <w:pStyle w:val="style0"/>
        <w:rPr/>
      </w:pPr>
      <w:r>
        <w:t xml:space="preserve"> </w:t>
      </w:r>
    </w:p>
    <w:p w14:paraId="9FB45C64">
      <w:pPr>
        <w:pStyle w:val="style0"/>
        <w:rPr/>
      </w:pPr>
      <w:r>
        <w:t>Second, restricted by the availability of public data, this paper does not conduct quantitative calculation on the full-life-cycle economic cost of the differentiated transformation model, which can be further studied combined with industrial economics models in follow-up research.</w:t>
      </w:r>
    </w:p>
    <w:p w14:paraId="4B7DA1CB">
      <w:pPr>
        <w:pStyle w:val="style0"/>
        <w:rPr/>
      </w:pPr>
      <w:r>
        <w:t xml:space="preserve"> </w:t>
      </w:r>
    </w:p>
    <w:p w14:paraId="C910FEC0">
      <w:pPr>
        <w:pStyle w:val="style0"/>
        <w:rPr/>
      </w:pPr>
      <w:r>
        <w:t>Third, the compliance of code reconstruction and fork development under different open-source agreements can be explored in special follow-up research.</w:t>
      </w:r>
    </w:p>
    <w:p w14:paraId="6FE43201">
      <w:pPr>
        <w:pStyle w:val="style0"/>
        <w:rPr/>
      </w:pPr>
      <w:r>
        <w:t xml:space="preserve"> </w:t>
      </w:r>
    </w:p>
    <w:p w14:paraId="83425A2A">
      <w:pPr>
        <w:pStyle w:val="style0"/>
        <w:rPr/>
      </w:pPr>
      <w:r>
        <w:t>7.3 Future Prospects</w:t>
      </w:r>
    </w:p>
    <w:p w14:paraId="517B6628">
      <w:pPr>
        <w:pStyle w:val="style0"/>
        <w:rPr/>
      </w:pPr>
      <w:r>
        <w:t xml:space="preserve"> </w:t>
      </w:r>
    </w:p>
    <w:p w14:paraId="23528060">
      <w:pPr>
        <w:pStyle w:val="style0"/>
        <w:rPr/>
      </w:pPr>
      <w:r>
        <w:t>The single-polar pattern of the global digital ecosystem will gradually evolve into a pattern of coexistence of multiple paradigms, where regional independent branch ecosystems and global general-purpose ecosystems will coexist for a long time. For developing economies, competition in foundational software technologies is a long-term endurance race, and short-term growing pains are inevitable. Adhering to the ideas of differentiated independence, compliant development and open collaboration will help transform from participants in the global value chain to co-builders of rules in a multi-polar digital landscape.</w:t>
      </w:r>
    </w:p>
    <w:p w14:paraId="09095E6B">
      <w:pPr>
        <w:pStyle w:val="style0"/>
        <w:rPr/>
      </w:pPr>
      <w:r>
        <w:t xml:space="preserve"> </w:t>
      </w:r>
    </w:p>
    <w:p w14:paraId="26C67756">
      <w:pPr>
        <w:pStyle w:val="style0"/>
        <w:rPr/>
      </w:pPr>
      <w:r>
        <w:t> </w:t>
      </w:r>
    </w:p>
    <w:p w14:paraId="9DC0163C">
      <w:pPr>
        <w:pStyle w:val="style0"/>
        <w:rPr/>
      </w:pPr>
      <w:r>
        <w:t xml:space="preserve"> </w:t>
      </w:r>
    </w:p>
    <w:p w14:paraId="2B0A1310">
      <w:pPr>
        <w:pStyle w:val="style0"/>
        <w:rPr/>
      </w:pPr>
      <w:r>
        <w:t>References (APA 7th Edition)</w:t>
      </w:r>
    </w:p>
    <w:p w14:paraId="AD6490F3">
      <w:pPr>
        <w:pStyle w:val="style0"/>
        <w:rPr/>
      </w:pPr>
      <w:r>
        <w:t xml:space="preserve"> </w:t>
      </w:r>
    </w:p>
    <w:p w14:paraId="C5BE81E1">
      <w:pPr>
        <w:pStyle w:val="style0"/>
        <w:rPr/>
      </w:pPr>
      <w:r>
        <w:t>[1] Arthur, W. B. (2014). The nature of technology: What it is and how it evolves. Zhejiang People's Publishing House.</w:t>
      </w:r>
    </w:p>
    <w:p w14:paraId="D4B150D2">
      <w:pPr>
        <w:pStyle w:val="style0"/>
        <w:rPr/>
      </w:pPr>
      <w:r>
        <w:t>[2] Castells, M. (2006). The rise of the network society. Social Sciences Academic Press.</w:t>
      </w:r>
    </w:p>
    <w:p w14:paraId="3AA0FF67">
      <w:pPr>
        <w:pStyle w:val="style0"/>
        <w:rPr/>
      </w:pPr>
      <w:r>
        <w:t>[3] Li, X. Y. (2024). Restructuring of global value chains and evolution of digital trade rules. World Economy Studies, 3, 3-12.</w:t>
      </w:r>
    </w:p>
    <w:p w14:paraId="D3BA1F16">
      <w:pPr>
        <w:pStyle w:val="style0"/>
        <w:rPr/>
      </w:pPr>
      <w:r>
        <w:t>[4] Huang, Q. H. (2023). Technological lock-in and breakthrough paths of industries in late-developing countries. China Industrial Economics, 7, 89-106.</w:t>
      </w:r>
    </w:p>
    <w:p w14:paraId="C3EA9584">
      <w:pPr>
        <w:pStyle w:val="style0"/>
        <w:rPr/>
      </w:pPr>
      <w:r>
        <w:t>[5] Ministry of Industry and Information Technology of China. (2025). Report on the development of China's software and information technology service industry (2025). MIIT.</w:t>
      </w:r>
    </w:p>
    <w:p w14:paraId="40E65D4C">
      <w:pPr>
        <w:pStyle w:val="style0"/>
        <w:rPr/>
      </w:pPr>
      <w:r>
        <w:t>[6] European Commission. (2025). European open source software strategy 2025. European Commission, Brussels.</w:t>
      </w:r>
    </w:p>
    <w:p w14:paraId="A7A83C25">
      <w:pPr>
        <w:pStyle w:val="style0"/>
        <w:rPr/>
      </w:pPr>
      <w:r>
        <w:t>[7] Open Source Initiative. (2026). Global open source ecosystem report 2026. Open Source Initiative.</w:t>
      </w:r>
    </w:p>
    <w:p w14:paraId="8F51D074">
      <w:pPr>
        <w:pStyle w:val="style0"/>
        <w:rPr/>
      </w:pPr>
      <w:r>
        <w:t>[8] International Data Corporation. (2026). Worldwide software infrastructure forecast, 2026–2031. International Data Corporation.</w:t>
      </w:r>
    </w:p>
    <w:sectPr>
      <w:pgSz w:w="11906" w:h="16838" w:orient="portrait"/>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10002FF" w:usb1="4000ACFF" w:usb2="00000009" w:usb3="00000000" w:csb0="0000019F" w:csb1="00000000"/>
  </w:font>
  <w:font w:name="宋体">
    <w:altName w:val="SimSun"/>
    <w:panose1 w:val="02010600030001010101"/>
    <w:charset w:val="86"/>
    <w:family w:val="auto"/>
    <w:pitch w:val="variable"/>
    <w:sig w:usb0="00000003" w:usb1="288F0000" w:usb2="00000016" w:usb3="00000000" w:csb0="00040001" w:csb1="00000000"/>
  </w:font>
  <w:font w:name="Arial">
    <w:altName w:val="Arial"/>
    <w:panose1 w:val="020b0604020002020204"/>
    <w:charset w:val="00"/>
    <w:family w:val="swiss"/>
    <w:pitch w:val="variable"/>
    <w:sig w:usb0="E0002AFF" w:usb1="C0007843" w:usb2="00000009" w:usb3="00000000" w:csb0="000001FF" w:csb1="00000000"/>
  </w:font>
  <w:font w:name="Times New Roman">
    <w:altName w:val="Times New Roman"/>
    <w:panose1 w:val="02020603050004020304"/>
    <w:charset w:val="00"/>
    <w:family w:val="roman"/>
    <w:pitch w:val="variable"/>
    <w:sig w:usb0="E0002AFF" w:usb1="C0007841" w:usb2="00000009" w:usb3="00000000" w:csb0="000001FF" w:csb1="00000000"/>
  </w:font>
  <w:font w:name="Cambria">
    <w:altName w:val="Cambria"/>
    <w:panose1 w:val="02040503050004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bordersDoNotSurroundHeader/>
  <w:bordersDoNotSurroundFooter/>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1"/>
    <m:dispDef/>
    <m:lMargin m:val="0"/>
    <m:rMargin m:val="0"/>
    <m:defJc m:val="centerGroup"/>
    <m:wrapIndent m:val="1440"/>
    <m:intLim m:val="subSup"/>
    <m:naryLim m:val="undOvr"/>
  </m:mathPr>
  <w:themeFontLang w:val="en-US" w:bidi="ar-SA"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Arial" w:eastAsia="宋体" w:hAnsi="Calibri"/>
        <w:kern w:val="2"/>
        <w:sz w:val="21"/>
        <w:szCs w:val="22"/>
        <w:lang w:val="en-US" w:bidi="ar-SA" w:eastAsia="zh-CN"/>
      </w:rPr>
    </w:rPrDefault>
    <w:pPrDefault>
      <w:pPr>
        <w:widowControl w:val="false"/>
        <w:jc w:val="both"/>
      </w:pPr>
    </w:pPrDefault>
  </w:docDefaults>
  <w:style w:type="paragraph" w:default="1" w:styleId="style0">
    <w:name w:val="Normal"/>
    <w:next w:val="style0"/>
    <w:qFormat/>
    <w:p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4633</Words>
  <Characters>31275</Characters>
  <Application>WPS Office</Application>
  <Paragraphs>260</Paragraphs>
  <CharactersWithSpaces>35892</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2026-06-22T14:56:17Z</dcterms:created>
  <dc:creator>BKY-W10</dc:creator>
  <lastModifiedBy>BKY-W10</lastModifiedBy>
  <dcterms:modified xsi:type="dcterms:W3CDTF">2026-06-22T14:57:06Z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e3799ef44c7040feae493e427d54dac9_21</vt:lpwstr>
  </property>
</Properties>
</file>