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svg" ContentType="image/svg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7.png" ContentType="image/png"/>
  <Override PartName="/word/media/rId4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Engineering — Modeling</w:t>
      </w:r>
    </w:p>
    <w:p>
      <w:pPr>
        <w:pStyle w:val="FirstParagraph"/>
      </w:pPr>
      <w:r>
        <w:t xml:space="preserve">The modelling team built five models for this project. Each one existed to</w:t>
      </w:r>
      <w:r>
        <w:t xml:space="preserve"> </w:t>
      </w:r>
      <w:r>
        <w:t xml:space="preserve">change a decision, and this page records, for each, what we designed, what we</w:t>
      </w:r>
      <w:r>
        <w:t xml:space="preserve"> </w:t>
      </w:r>
      <w:r>
        <w:t xml:space="preserve">built, how we put it at risk, and what the answer changed.</w:t>
      </w:r>
    </w:p>
    <w:p>
      <w:pPr>
        <w:pStyle w:val="BodyText"/>
      </w:pPr>
      <w:r>
        <w:t xml:space="preserve">Two of the five went through a full second iteration: the first version returned</w:t>
      </w:r>
      <w:r>
        <w:t xml:space="preserve"> </w:t>
      </w:r>
      <w:r>
        <w:t xml:space="preserve">an answer that looked perfectly reasonable, and testing it revealed that the</w:t>
      </w:r>
      <w:r>
        <w:t xml:space="preserve"> </w:t>
      </w:r>
      <w:r>
        <w:t xml:space="preserve">model had been asked the wrong question rather than asked it badly.</w:t>
      </w:r>
    </w:p>
    <w:p>
      <w:r>
        <w:pict>
          <v:rect style="width:0;height:1.5pt" o:hralign="center" o:hrstd="t" o:hr="t"/>
        </w:pict>
      </w:r>
    </w:p>
    <w:bookmarkStart w:id="17" w:name="X1f5bd6c226faa620a5a626ee4dcfa46e5191921"/>
    <w:p>
      <w:pPr>
        <w:pStyle w:val="Heading2"/>
      </w:pPr>
      <w:r>
        <w:t xml:space="preserve">Cycle 1 — The AND gate: from assumption to prediction</w:t>
      </w:r>
    </w:p>
    <w:bookmarkStart w:id="9" w:name="design"/>
    <w:p>
      <w:pPr>
        <w:pStyle w:val="Heading3"/>
      </w:pPr>
      <w:r>
        <w:t xml:space="preserve">Design</w:t>
      </w:r>
    </w:p>
    <w:p>
      <w:pPr>
        <w:pStyle w:val="FirstParagraph"/>
      </w:pPr>
      <w:r>
        <w:t xml:space="preserve">Our circuit is an AND gate: hypoxia drives</w:t>
      </w:r>
      <w:r>
        <w:t xml:space="preserve"> </w:t>
      </w:r>
      <w:r>
        <w:rPr>
          <w:rStyle w:val="VerbatimChar"/>
        </w:rPr>
        <w:t xml:space="preserve">LuxI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pPepT</w:t>
      </w:r>
      <w:r>
        <w:t xml:space="preserve"> </w:t>
      </w:r>
      <w:r>
        <w:t xml:space="preserve">to make AHL,</w:t>
      </w:r>
      <w:r>
        <w:t xml:space="preserve"> </w:t>
      </w:r>
      <w:r>
        <w:t xml:space="preserve">lactate drives</w:t>
      </w:r>
      <w:r>
        <w:t xml:space="preserve"> </w:t>
      </w:r>
      <w:r>
        <w:rPr>
          <w:rStyle w:val="VerbatimChar"/>
        </w:rPr>
        <w:t xml:space="preserve">LuxR</w:t>
      </w:r>
      <w:r>
        <w:t xml:space="preserve"> </w:t>
      </w:r>
      <w:r>
        <w:t xml:space="preserve">from the native</w:t>
      </w:r>
      <w:r>
        <w:t xml:space="preserve"> </w:t>
      </w:r>
      <w:r>
        <w:rPr>
          <w:rStyle w:val="VerbatimChar"/>
        </w:rPr>
        <w:t xml:space="preserve">lldPRD</w:t>
      </w:r>
      <w:r>
        <w:t xml:space="preserve"> </w:t>
      </w:r>
      <w:r>
        <w:t xml:space="preserve">promoter, and only the LuxR–AHL</w:t>
      </w:r>
      <w:r>
        <w:t xml:space="preserve"> </w:t>
      </w:r>
      <w:r>
        <w:t xml:space="preserve">complex opens</w:t>
      </w:r>
      <w:r>
        <w:t xml:space="preserve"> </w:t>
      </w:r>
      <w:r>
        <w:rPr>
          <w:rStyle w:val="VerbatimChar"/>
        </w:rPr>
        <w:t xml:space="preserve">pLux</w:t>
      </w:r>
      <w:r>
        <w:t xml:space="preserve">. The whole safety analysis wants to treat that gate as a</w:t>
      </w:r>
      <w:r>
        <w:t xml:space="preserve"> </w:t>
      </w:r>
      <w:r>
        <w:rPr>
          <w:b/>
          <w:bCs/>
        </w:rPr>
        <w:t xml:space="preserve">product of its two arms</w:t>
      </w:r>
      <w:r>
        <w:t xml:space="preserve">, because then every tissue site scores as a product</w:t>
      </w:r>
      <w:r>
        <w:t xml:space="preserve"> </w:t>
      </w:r>
      <w:r>
        <w:t xml:space="preserve">of two independent numbers instead of a surface that would have to be measured</w:t>
      </w:r>
      <w:r>
        <w:t xml:space="preserve"> </w:t>
      </w:r>
      <w:r>
        <w:t xml:space="preserve">everywhere.</w:t>
      </w:r>
    </w:p>
    <w:p>
      <w:pPr>
        <w:pStyle w:val="BodyText"/>
      </w:pPr>
      <w:r>
        <w:t xml:space="preserve">The honest form of the question is not</w:t>
      </w:r>
      <w:r>
        <w:t xml:space="preserve"> </w:t>
      </w:r>
      <w:r>
        <w:rPr>
          <w:i/>
          <w:iCs/>
        </w:rPr>
        <w:t xml:space="preserve">is it multiplicative?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could we</w:t>
      </w:r>
      <w:r>
        <w:rPr>
          <w:b/>
          <w:bCs/>
        </w:rPr>
        <w:t xml:space="preserve"> </w:t>
      </w:r>
      <w:r>
        <w:rPr>
          <w:b/>
          <w:bCs/>
        </w:rPr>
        <w:t xml:space="preserve">find out that it is not?</w:t>
      </w:r>
    </w:p>
    <w:bookmarkEnd w:id="9"/>
    <w:bookmarkStart w:id="10" w:name="build"/>
    <w:p>
      <w:pPr>
        <w:pStyle w:val="Heading3"/>
      </w:pPr>
      <w:r>
        <w:t xml:space="preserve">Build</w:t>
      </w:r>
    </w:p>
    <w:p>
      <w:pPr>
        <w:pStyle w:val="FirstParagraph"/>
      </w:pPr>
      <w:r>
        <w:t xml:space="preserve">A factorised gate, plus a</w:t>
      </w:r>
      <w:r>
        <w:t xml:space="preserve"> </w:t>
      </w:r>
      <w:r>
        <w:rPr>
          <w:b/>
          <w:bCs/>
        </w:rPr>
        <w:t xml:space="preserve">leave-one-corner-out protocol</w:t>
      </w:r>
      <w:r>
        <w:t xml:space="preserve">. Working in log-odds</w:t>
      </w:r>
      <w:r>
        <w:t xml:space="preserve"> </w:t>
      </w:r>
      <m:oMath>
        <m:r>
          <m:t xml:space="preserve">z</m:t>
        </m:r>
      </m:oMath>
      <w:r>
        <w:t xml:space="preserve">, multiplicativity is the statement that the two-way interaction vanishes: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 xml:space="preserve">Δ</m:t>
          </m:r>
          <m:sSub>
            <m:e>
              <m:r>
                <m:t xml:space="preserve">z</m:t>
              </m:r>
            </m:e>
            <m:sub>
              <m:r>
                <m:t xml:space="preserve">A</m:t>
              </m:r>
              <m:r>
                <m:t xml:space="preserve">B</m:t>
              </m:r>
            </m:sub>
          </m:sSub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Δ</m:t>
          </m:r>
          <m:sSub>
            <m:e>
              <m:r>
                <m:t xml:space="preserve">z</m:t>
              </m:r>
            </m:e>
            <m:sub>
              <m:r>
                <m:t xml:space="preserve">A</m:t>
              </m:r>
            </m:sub>
          </m:sSub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Δ</m:t>
          </m:r>
          <m:sSub>
            <m:e>
              <m:r>
                <m:t xml:space="preserve">z</m:t>
              </m:r>
            </m:e>
            <m:sub>
              <m:r>
                <m:t xml:space="preserve">B</m:t>
              </m:r>
            </m:sub>
          </m:sSub>
          <m:r>
            <m:t xml:space="preserve"> </m:t>
          </m:r>
          <m:r>
            <m:rPr>
              <m:sty m:val="p"/>
            </m:rPr>
            <m:t xml:space="preserve">=</m:t>
          </m:r>
          <m:r>
            <m:t xml:space="preserve"> </m:t>
          </m:r>
          <m:r>
            <m:t xml:space="preserve">0</m:t>
          </m:r>
          <m:r>
            <m:rPr>
              <m:nor/>
              <m:sty m:val="p"/>
            </m:rPr>
            <m:t xml:space="preserve">   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2.2</m:t>
          </m:r>
          <m:r>
            <m:rPr>
              <m:nor/>
              <m:sty m:val="p"/>
            </m:rPr>
            <m:t xml:space="preserve">-</m:t>
          </m:r>
          <m:r>
            <m:rPr>
              <m:sty m:val="p"/>
            </m:rPr>
            <m:t xml:space="preserve">4</m:t>
          </m:r>
          <m:r>
            <m:rPr>
              <m:sty m:val="p"/>
            </m:rPr>
            <m:t xml:space="preserve">)</m:t>
          </m:r>
        </m:oMath>
      </m:oMathPara>
    </w:p>
    <w:p>
      <w:pPr>
        <w:pStyle w:val="FirstParagraph"/>
      </w:pPr>
      <w:r>
        <w:t xml:space="preserve">The four reporter corners — 21 % / 1 % O₂ × ± 20 mM lactate — are exactly the</w:t>
      </w:r>
      <w:r>
        <w:t xml:space="preserve"> </w:t>
      </w:r>
      <w:r>
        <w:t xml:space="preserve">2 × 2 this is defined on, so Eq. (2.2-4) rearranges into a</w:t>
      </w:r>
      <w:r>
        <w:t xml:space="preserve"> </w:t>
      </w:r>
      <w:r>
        <w:rPr>
          <w:b/>
          <w:bCs/>
        </w:rPr>
        <w:t xml:space="preserve">prediction</w:t>
      </w:r>
      <w:r>
        <w:t xml:space="preserve">: hold</w:t>
      </w:r>
      <w:r>
        <w:t xml:space="preserve"> </w:t>
      </w:r>
      <w:r>
        <w:t xml:space="preserve">out any one corner and the other three determine it.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 xml:space="preserve">z</m:t>
              </m:r>
            </m:e>
            <m:sub>
              <m:r>
                <m:t xml:space="preserve">D</m:t>
              </m:r>
            </m:sub>
          </m:sSub>
          <m:r>
            <m:t xml:space="preserve"> </m:t>
          </m:r>
          <m:r>
            <m:rPr>
              <m:sty m:val="p"/>
            </m:rPr>
            <m:t xml:space="preserve">=</m:t>
          </m:r>
          <m:r>
            <m:t xml:space="preserve"> </m:t>
          </m:r>
          <m:sSub>
            <m:e>
              <m:r>
                <m:t xml:space="preserve">z</m:t>
              </m:r>
            </m:e>
            <m:sub>
              <m:r>
                <m:t xml:space="preserve">B</m:t>
              </m:r>
            </m:sub>
          </m:sSub>
          <m:r>
            <m:rPr>
              <m:sty m:val="p"/>
            </m:rPr>
            <m:t xml:space="preserve">+</m:t>
          </m:r>
          <m:sSub>
            <m:e>
              <m:r>
                <m:t xml:space="preserve">z</m:t>
              </m:r>
            </m:e>
            <m:sub>
              <m:r>
                <m:t xml:space="preserve">C</m:t>
              </m:r>
            </m:sub>
          </m:sSub>
          <m:r>
            <m:rPr>
              <m:sty m:val="p"/>
            </m:rPr>
            <m:t xml:space="preserve">−</m:t>
          </m:r>
          <m:sSub>
            <m:e>
              <m:r>
                <m:t xml:space="preserve">z</m:t>
              </m:r>
            </m:e>
            <m:sub>
              <m:r>
                <m:t xml:space="preserve">A</m:t>
              </m:r>
            </m:sub>
          </m:sSub>
        </m:oMath>
      </m:oMathPara>
    </w:p>
    <w:p>
      <w:pPr>
        <w:pStyle w:val="FirstParagraph"/>
      </w:pPr>
      <w:r>
        <w:t xml:space="preserve">Both decision criteria — a ratio bound and a standard-error bound — were</w:t>
      </w:r>
      <w:r>
        <w:t xml:space="preserve"> </w:t>
      </w:r>
      <w:r>
        <w:t xml:space="preserve">declared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protocol was run, so a pass could not be chosen</w:t>
      </w:r>
      <w:r>
        <w:t xml:space="preserve"> </w:t>
      </w:r>
      <w:r>
        <w:t xml:space="preserve">afterwards.</w:t>
      </w:r>
    </w:p>
    <w:bookmarkEnd w:id="10"/>
    <w:bookmarkStart w:id="14" w:name="test"/>
    <w:p>
      <w:pPr>
        <w:pStyle w:val="Heading3"/>
      </w:pPr>
      <w:r>
        <w:t xml:space="preserve">Test</w:t>
      </w:r>
    </w:p>
    <w:p>
      <w:pPr>
        <w:pStyle w:val="FirstParagraph"/>
      </w:pPr>
      <w:r>
        <w:t xml:space="preserve">Each corner was held out in turn and predicted from the other three</w:t>
      </w:r>
      <w:r>
        <w:t xml:space="preserve"> </w:t>
      </w:r>
      <w:r>
        <w:t xml:space="preserve">(Fig. 1). At the 24 h endpoint</w:t>
      </w:r>
      <w:r>
        <w:t xml:space="preserve"> </w:t>
      </w:r>
      <w:r>
        <w:rPr>
          <w:b/>
          <w:bCs/>
        </w:rPr>
        <w:t xml:space="preserve">all four passed</w:t>
      </w:r>
      <w:r>
        <w:t xml:space="preserve">, and the fully-on</w:t>
      </w:r>
      <w:r>
        <w:t xml:space="preserve"> </w:t>
      </w:r>
      <w:r>
        <w:t xml:space="preserve">corner — the state the circuit is designed to reach, and so the one that matters</w:t>
      </w:r>
      <w:r>
        <w:t xml:space="preserve"> </w:t>
      </w:r>
      <w:r>
        <w:t xml:space="preserve">— came out within</w:t>
      </w:r>
      <w:r>
        <w:t xml:space="preserve"> </w:t>
      </w:r>
      <w:r>
        <w:rPr>
          <w:b/>
          <w:bCs/>
        </w:rPr>
        <w:t xml:space="preserve">0.05 percentage points</w:t>
      </w:r>
      <w:r>
        <w:t xml:space="preserve"> </w:t>
      </w:r>
      <w:r>
        <w:t xml:space="preserve">of its measured value.</w:t>
      </w:r>
    </w:p>
    <w:p>
      <w:pPr>
        <w:pStyle w:val="BodyText"/>
      </w:pPr>
      <w:r>
        <w:t xml:space="preserve">We then ran the identical protocol at the mid-course sampling points, expecting</w:t>
      </w:r>
      <w:r>
        <w:t xml:space="preserve"> </w:t>
      </w:r>
      <w:r>
        <w:t xml:space="preserve">it to fail. It did. At 9 h</w:t>
      </w:r>
      <w:r>
        <w:t xml:space="preserve"> </w:t>
      </w:r>
      <w:r>
        <w:rPr>
          <w:b/>
          <w:bCs/>
        </w:rPr>
        <w:t xml:space="preserve">not one of the four corners passed</w:t>
      </w:r>
      <w:r>
        <w:t xml:space="preserve">, the worst</w:t>
      </w:r>
      <w:r>
        <w:t xml:space="preserve"> </w:t>
      </w:r>
      <w:r>
        <w:t xml:space="preserve">missing by</w:t>
      </w:r>
      <w:r>
        <w:t xml:space="preserve"> </w:t>
      </w:r>
      <w:r>
        <w:rPr>
          <w:b/>
          <w:bCs/>
        </w:rPr>
        <w:t xml:space="preserve">4.447×</w:t>
      </w:r>
      <w:r>
        <w:t xml:space="preserve">. At 6 h none passed the ratio bound either, the worst at</w:t>
      </w:r>
      <w:r>
        <w:t xml:space="preserve"> </w:t>
      </w:r>
      <w:r>
        <w:t xml:space="preserve">1.600×, although all four stayed inside the standard-error bound — which is why</w:t>
      </w:r>
      <w:r>
        <w:t xml:space="preserve"> </w:t>
      </w:r>
      <w:r>
        <w:t xml:space="preserve">both criteria were declared in advance, and why neither on its own would have</w:t>
      </w:r>
      <w:r>
        <w:t xml:space="preserve"> </w:t>
      </w:r>
      <w:r>
        <w:t xml:space="preserve">been enough.</w:t>
      </w:r>
    </w:p>
    <w:p>
      <w:pPr>
        <w:pStyle w:val="BodyText"/>
      </w:pPr>
      <w:r>
        <w:drawing>
          <wp:inline>
            <wp:extent cx="5760720" cy="2204101"/>
            <wp:effectExtent b="0" l="0" r="0" t="0"/>
            <wp:docPr descr="Leave-one-corner-out test of the AND gate" title="" id="12" name="Picture"/>
            <a:graphic>
              <a:graphicData uri="http://schemas.openxmlformats.org/drawingml/2006/picture">
                <pic:pic>
                  <pic:nvPicPr>
                    <pic:cNvPr descr="outputs/figures/video/fig2_2_gate_holdou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Svg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04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1. Leave-one-corner-out test of the AND gate at 24 h and at 9 h.</w:t>
      </w:r>
      <w:r>
        <w:t xml:space="preserve"> </w:t>
      </w:r>
      <w:r>
        <w:t xml:space="preserve">Left: the four reporter corners at 24 h, 21 % or 1 % O₂ against 0 or 20 mM</w:t>
      </w:r>
      <w:r>
        <w:t xml:space="preserve"> </w:t>
      </w:r>
      <w:r>
        <w:t xml:space="preserve">lactate, each cell labelled with its percentage of GFP-positive cells and shaded</w:t>
      </w:r>
      <w:r>
        <w:t xml:space="preserve"> </w:t>
      </w:r>
      <w:r>
        <w:t xml:space="preserve">by that value; the outlined cell is the corner held out, and the annotation below</w:t>
      </w:r>
      <w:r>
        <w:t xml:space="preserve"> </w:t>
      </w:r>
      <w:r>
        <w:t xml:space="preserve">it gives the value predicted from the other three. Right: predicted against</w:t>
      </w:r>
      <w:r>
        <w:t xml:space="preserve"> </w:t>
      </w:r>
      <w:r>
        <w:t xml:space="preserve">measured for every held-out corner, both axes logarithmic, with the dashed</w:t>
      </w:r>
      <w:r>
        <w:t xml:space="preserve"> </w:t>
      </w:r>
      <w:r>
        <w:t xml:space="preserve">identity line and the grey ±25 % band declared before the run. Circles are the</w:t>
      </w:r>
      <w:r>
        <w:t xml:space="preserve"> </w:t>
      </w:r>
      <w:r>
        <w:t xml:space="preserve">24 h endpoint and squares the 9 h mid-course; the legend gives the pass count for</w:t>
      </w:r>
      <w:r>
        <w:t xml:space="preserve"> </w:t>
      </w:r>
      <w:r>
        <w:t xml:space="preserve">each. Percentages are replicate means taken in probit units and mapped back.</w:t>
      </w:r>
    </w:p>
    <w:bookmarkEnd w:id="14"/>
    <w:bookmarkStart w:id="15" w:name="learn"/>
    <w:p>
      <w:pPr>
        <w:pStyle w:val="Heading3"/>
      </w:pPr>
      <w:r>
        <w:t xml:space="preserve">Learn</w:t>
      </w:r>
    </w:p>
    <w:p>
      <w:pPr>
        <w:pStyle w:val="FirstParagraph"/>
      </w:pPr>
      <w:r>
        <w:rPr>
          <w:b/>
          <w:bCs/>
        </w:rPr>
        <w:t xml:space="preserve">The AND claim is now an out-of-sample result, not an internal check.</w:t>
      </w:r>
      <w:r>
        <w:t xml:space="preserve"> </w:t>
      </w:r>
      <w:r>
        <w:t xml:space="preserve">The</w:t>
      </w:r>
      <w:r>
        <w:t xml:space="preserve"> </w:t>
      </w:r>
      <w:r>
        <w:t xml:space="preserve">corner the model had never seen was predicted to 0.05 percentage points. That</w:t>
      </w:r>
      <w:r>
        <w:t xml:space="preserve"> </w:t>
      </w:r>
      <w:r>
        <w:t xml:space="preserve">licenses the rest of this page to factorise the gate.</w:t>
      </w:r>
    </w:p>
    <w:p>
      <w:pPr>
        <w:pStyle w:val="BodyText"/>
      </w:pPr>
      <w:r>
        <w:rPr>
          <w:b/>
          <w:bCs/>
        </w:rPr>
        <w:t xml:space="preserve">The failure is the more valuable half.</w:t>
      </w:r>
      <w:r>
        <w:t xml:space="preserve"> </w:t>
      </w:r>
      <w:r>
        <w:t xml:space="preserve">A protocol that passes everything has</w:t>
      </w:r>
      <w:r>
        <w:t xml:space="preserve"> </w:t>
      </w:r>
      <w:r>
        <w:t xml:space="preserve">no discriminating power and proves nothing. Ours rejects: at 9 h it misses by up</w:t>
      </w:r>
      <w:r>
        <w:t xml:space="preserve"> </w:t>
      </w:r>
      <w:r>
        <w:t xml:space="preserve">to 4.4×, using the same equations and the same data. That is why the 24 h pass</w:t>
      </w:r>
      <w:r>
        <w:t xml:space="preserve"> </w:t>
      </w:r>
      <w:r>
        <w:t xml:space="preserve">means something.</w:t>
      </w:r>
    </w:p>
    <w:p>
      <w:pPr>
        <w:pStyle w:val="BodyText"/>
      </w:pPr>
      <w:r>
        <w:rPr>
          <w:b/>
          <w:bCs/>
        </w:rPr>
        <w:t xml:space="preserve">So the validity domain is explicit, and narrower than we assumed.</w:t>
      </w:r>
      <w:r>
        <w:t xml:space="preserve"> </w:t>
      </w:r>
      <w:r>
        <w:t xml:space="preserve">Factorisation holds</w:t>
      </w:r>
      <w:r>
        <w:t xml:space="preserve"> </w:t>
      </w:r>
      <w:r>
        <w:rPr>
          <w:b/>
          <w:bCs/>
        </w:rPr>
        <w:t xml:space="preserve">at the endpoint only</w:t>
      </w:r>
      <w:r>
        <w:t xml:space="preserve">, and we wrote a standing</w:t>
      </w:r>
      <w:r>
        <w:t xml:space="preserve"> </w:t>
      </w:r>
      <w:r>
        <w:t xml:space="preserve">prohibition against extrapolating mid-course ON/OFF ratios into any site score.</w:t>
      </w:r>
      <w:r>
        <w:t xml:space="preserve"> </w:t>
      </w:r>
      <w:r>
        <w:t xml:space="preserve">One licence and one restriction, from one experiment.</w:t>
      </w:r>
    </w:p>
    <w:bookmarkEnd w:id="15"/>
    <w:bookmarkStart w:id="16" w:name="next-iteration"/>
    <w:p>
      <w:pPr>
        <w:pStyle w:val="Heading3"/>
      </w:pPr>
      <w:r>
        <w:t xml:space="preserve">Next iteration</w:t>
      </w:r>
    </w:p>
    <w:p>
      <w:pPr>
        <w:pStyle w:val="FirstParagraph"/>
      </w:pPr>
      <w:r>
        <w:t xml:space="preserve">This is internal cross-validation — there is one dataset, so it cannot be</w:t>
      </w:r>
      <w:r>
        <w:t xml:space="preserve"> </w:t>
      </w:r>
      <w:r>
        <w:t xml:space="preserve">external validation and we do not call it that. The next version needs a second</w:t>
      </w:r>
      <w:r>
        <w:t xml:space="preserve"> </w:t>
      </w:r>
      <w:r>
        <w:t xml:space="preserve">dataset; the cheapest candidate is the lactate gradient in Cycle 5.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0" w:name="X3198466a74f4970010c80562814b40df49e8458"/>
    <w:p>
      <w:pPr>
        <w:pStyle w:val="Heading2"/>
      </w:pPr>
      <w:r>
        <w:t xml:space="preserve">Cycle 2 — The tissue-site model: the site list was the bug</w:t>
      </w:r>
    </w:p>
    <w:bookmarkStart w:id="18" w:name="design-v1"/>
    <w:p>
      <w:pPr>
        <w:pStyle w:val="Heading3"/>
      </w:pPr>
      <w:r>
        <w:t xml:space="preserve">Design (v1)</w:t>
      </w:r>
    </w:p>
    <w:p>
      <w:pPr>
        <w:pStyle w:val="FirstParagraph"/>
      </w:pPr>
      <w:r>
        <w:t xml:space="preserve">Cycle 1 established that the gate factorises, so each site can be scored as a</w:t>
      </w:r>
      <w:r>
        <w:t xml:space="preserve"> </w:t>
      </w:r>
      <w:r>
        <w:t xml:space="preserve">product of arms. The question this model exists to answer:</w:t>
      </w:r>
      <w:r>
        <w:t xml:space="preserve"> </w:t>
      </w:r>
      <w:r>
        <w:rPr>
          <w:b/>
          <w:bCs/>
        </w:rPr>
        <w:t xml:space="preserve">at which</w:t>
      </w:r>
      <w:r>
        <w:rPr>
          <w:b/>
          <w:bCs/>
        </w:rPr>
        <w:t xml:space="preserve"> </w:t>
      </w:r>
      <w:r>
        <w:rPr>
          <w:b/>
          <w:bCs/>
        </w:rPr>
        <w:t xml:space="preserve">non-tumour sites are the inputs simultaneously true?</w:t>
      </w:r>
    </w:p>
    <w:bookmarkEnd w:id="18"/>
    <w:bookmarkStart w:id="19" w:name="build-v1"/>
    <w:p>
      <w:pPr>
        <w:pStyle w:val="Heading3"/>
      </w:pPr>
      <w:r>
        <w:t xml:space="preserve">Build (v1)</w:t>
      </w:r>
    </w:p>
    <w:p>
      <w:pPr>
        <w:pStyle w:val="FirstParagraph"/>
      </w:pPr>
      <w:r>
        <w:t xml:space="preserve">Two monotone sensor responses — lactate induces, oxygen represses: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 xml:space="preserve">f</m:t>
              </m:r>
            </m:e>
            <m:sub>
              <m:r>
                <m:t xml:space="preserve">L</m:t>
              </m:r>
            </m:sub>
          </m:sSub>
          <m:r>
            <m:rPr>
              <m:sty m:val="p"/>
            </m:rPr>
            <m:t xml:space="preserve">(</m:t>
          </m:r>
          <m:r>
            <m:t xml:space="preserve">L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b>
            <m:e>
              <m:r>
                <m:t xml:space="preserve">b</m:t>
              </m:r>
            </m:e>
            <m:sub>
              <m:r>
                <m:t xml:space="preserve">L</m:t>
              </m:r>
            </m:sub>
          </m:sSub>
          <m:r>
            <m:rPr>
              <m:sty m:val="p"/>
            </m:rPr>
            <m:t xml:space="preserve">+</m:t>
          </m:r>
          <m:r>
            <m:rPr>
              <m:sty m:val="p"/>
            </m:rPr>
            <m:t xml:space="preserve">(</m:t>
          </m:r>
          <m:r>
            <m:t xml:space="preserve">1</m:t>
          </m:r>
          <m:r>
            <m:rPr>
              <m:sty m:val="p"/>
            </m:rPr>
            <m:t xml:space="preserve">−</m:t>
          </m:r>
          <m:sSub>
            <m:e>
              <m:r>
                <m:t xml:space="preserve">b</m:t>
              </m:r>
            </m:e>
            <m:sub>
              <m:r>
                <m:t xml:space="preserve">L</m:t>
              </m:r>
            </m:sub>
          </m:sSub>
          <m:r>
            <m:rPr>
              <m:sty m:val="p"/>
            </m:rPr>
            <m:t xml:space="preserve">)</m:t>
          </m:r>
          <m:r>
            <m:t xml:space="preserve"> </m:t>
          </m:r>
          <m:f>
            <m:fPr>
              <m:type m:val="bar"/>
            </m:fPr>
            <m:num>
              <m:sSup>
                <m:e>
                  <m:r>
                    <m:t xml:space="preserve">L</m:t>
                  </m:r>
                </m:e>
                <m:sup>
                  <m:r>
                    <m:t xml:space="preserve"> </m:t>
                  </m:r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L</m:t>
                      </m:r>
                    </m:sub>
                  </m:sSub>
                </m:sup>
              </m:sSup>
            </m:num>
            <m:den>
              <m:r>
                <m:t xml:space="preserve">E</m:t>
              </m:r>
              <m:sSubSup>
                <m:e>
                  <m:r>
                    <m:t xml:space="preserve">C</m:t>
                  </m:r>
                </m:e>
                <m:sub>
                  <m:r>
                    <m:t xml:space="preserve">50</m:t>
                  </m:r>
                </m:sub>
                <m:sup>
                  <m:r>
                    <m:t xml:space="preserve"> </m:t>
                  </m:r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L</m:t>
                      </m:r>
                    </m:sub>
                  </m:sSub>
                </m:sup>
              </m:sSubSup>
              <m:r>
                <m:rPr>
                  <m:sty m:val="p"/>
                </m:rPr>
                <m:t xml:space="preserve">+</m:t>
              </m:r>
              <m:sSup>
                <m:e>
                  <m:r>
                    <m:t xml:space="preserve">L</m:t>
                  </m:r>
                </m:e>
                <m:sup>
                  <m:r>
                    <m:t xml:space="preserve"> </m:t>
                  </m:r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L</m:t>
                      </m:r>
                    </m:sub>
                  </m:sSub>
                </m:sup>
              </m:sSup>
            </m:den>
          </m:f>
          <m:r>
            <m:rPr>
              <m:nor/>
              <m:sty m:val="p"/>
            </m:rPr>
            <m:t xml:space="preserve">   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3.1</m:t>
          </m:r>
          <m:r>
            <m:rPr>
              <m:nor/>
              <m:sty m:val="p"/>
            </m:rPr>
            <m:t xml:space="preserve">-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 xml:space="preserve">f</m:t>
              </m:r>
            </m:e>
            <m:sub>
              <m:r>
                <m:t xml:space="preserve">O</m:t>
              </m:r>
            </m:sub>
          </m:sSub>
          <m:r>
            <m:rPr>
              <m:sty m:val="p"/>
            </m:rPr>
            <m:t xml:space="preserve">(</m:t>
          </m:r>
          <m:r>
            <m:t xml:space="preserve">C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b>
            <m:e>
              <m:r>
                <m:t xml:space="preserve">b</m:t>
              </m:r>
            </m:e>
            <m:sub>
              <m:r>
                <m:t xml:space="preserve">O</m:t>
              </m:r>
            </m:sub>
          </m:sSub>
          <m:r>
            <m:rPr>
              <m:sty m:val="p"/>
            </m:rPr>
            <m:t xml:space="preserve">+</m:t>
          </m:r>
          <m:r>
            <m:rPr>
              <m:sty m:val="p"/>
            </m:rPr>
            <m:t xml:space="preserve">(</m:t>
          </m:r>
          <m:r>
            <m:t xml:space="preserve">1</m:t>
          </m:r>
          <m:r>
            <m:rPr>
              <m:sty m:val="p"/>
            </m:rPr>
            <m:t xml:space="preserve">−</m:t>
          </m:r>
          <m:sSub>
            <m:e>
              <m:r>
                <m:t xml:space="preserve">b</m:t>
              </m:r>
            </m:e>
            <m:sub>
              <m:r>
                <m:t xml:space="preserve">O</m:t>
              </m:r>
            </m:sub>
          </m:sSub>
          <m:r>
            <m:rPr>
              <m:sty m:val="p"/>
            </m:rPr>
            <m:t xml:space="preserve">)</m:t>
          </m:r>
          <m:r>
            <m:t xml:space="preserve"> </m:t>
          </m:r>
          <m:f>
            <m:fPr>
              <m:type m:val="bar"/>
            </m:fPr>
            <m:num>
              <m:sSubSup>
                <m:e>
                  <m:r>
                    <m:t xml:space="preserve">K</m:t>
                  </m:r>
                </m:e>
                <m:sub>
                  <m:sSub>
                    <m:e>
                      <m:r>
                        <m:t xml:space="preserve">O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sub>
                <m:sup>
                  <m:r>
                    <m:t xml:space="preserve"> </m:t>
                  </m:r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O</m:t>
                      </m:r>
                    </m:sub>
                  </m:sSub>
                </m:sup>
              </m:sSubSup>
            </m:num>
            <m:den>
              <m:sSubSup>
                <m:e>
                  <m:r>
                    <m:t xml:space="preserve">K</m:t>
                  </m:r>
                </m:e>
                <m:sub>
                  <m:sSub>
                    <m:e>
                      <m:r>
                        <m:t xml:space="preserve">O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sub>
                <m:sup>
                  <m:r>
                    <m:t xml:space="preserve"> </m:t>
                  </m:r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O</m:t>
                      </m:r>
                    </m:sub>
                  </m:sSub>
                </m:sup>
              </m:sSubSup>
              <m:r>
                <m:rPr>
                  <m:sty m:val="p"/>
                </m:rPr>
                <m:t xml:space="preserve">+</m:t>
              </m:r>
              <m:sSup>
                <m:e>
                  <m:r>
                    <m:t xml:space="preserve">C</m:t>
                  </m:r>
                </m:e>
                <m:sup>
                  <m:r>
                    <m:t xml:space="preserve"> </m:t>
                  </m:r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O</m:t>
                      </m:r>
                    </m:sub>
                  </m:sSub>
                </m:sup>
              </m:sSup>
            </m:den>
          </m:f>
          <m:r>
            <m:rPr>
              <m:nor/>
              <m:sty m:val="p"/>
            </m:rPr>
            <m:t xml:space="preserve">   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3.1</m:t>
          </m:r>
          <m:r>
            <m:rPr>
              <m:nor/>
              <m:sty m:val="p"/>
            </m:rPr>
            <m:t xml:space="preserve">-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</m:oMath>
      </m:oMathPara>
    </w:p>
    <w:p>
      <w:pPr>
        <w:pStyle w:val="FirstParagraph"/>
      </w:pPr>
      <w:r>
        <w:t xml:space="preserve">combined into a site score relative to the tumour core: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 xml:space="preserve">R</m:t>
              </m:r>
            </m:e>
            <m:sub>
              <m:r>
                <m:rPr>
                  <m:nor/>
                  <m:sty m:val="p"/>
                </m:rPr>
                <m:t xml:space="preserve">margin</m:t>
              </m:r>
            </m:sub>
          </m:sSub>
          <m:r>
            <m:rPr>
              <m:sty m:val="p"/>
            </m:rPr>
            <m:t xml:space="preserve">(</m:t>
          </m:r>
          <m:r>
            <m:rPr>
              <m:nor/>
              <m:sty m:val="p"/>
            </m:rPr>
            <m:t xml:space="preserve">site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limUp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L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(</m:t>
                      </m:r>
                      <m:sSub>
                        <m:e>
                          <m:r>
                            <m:t xml:space="preserve">L</m:t>
                          </m:r>
                        </m:e>
                        <m:sub>
                          <m:r>
                            <m:t xml:space="preserve">t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)</m:t>
                      </m:r>
                    </m:num>
                    <m:den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L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(</m:t>
                      </m:r>
                      <m:sSub>
                        <m:e>
                          <m:r>
                            <m:t xml:space="preserve">L</m:t>
                          </m:r>
                        </m:e>
                        <m:sub>
                          <m:r>
                            <m:t xml:space="preserve">s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)</m:t>
                      </m:r>
                    </m:den>
                  </m:f>
                </m:e>
              </m:d>
            </m:e>
            <m:lim>
              <m:r>
                <m:rPr>
                  <m:nor/>
                  <m:sty m:val="p"/>
                </m:rPr>
                <m:t xml:space="preserve">lactate arm</m:t>
              </m:r>
            </m:lim>
          </m:limUpp>
          <m:r>
            <m:rPr>
              <m:sty m:val="p"/>
            </m:rPr>
            <m:t xml:space="preserve">⋅</m:t>
          </m:r>
          <m:limUp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O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(</m:t>
                      </m:r>
                      <m:sSub>
                        <m:e>
                          <m:r>
                            <m:t xml:space="preserve">C</m:t>
                          </m:r>
                        </m:e>
                        <m:sub>
                          <m:r>
                            <m:t xml:space="preserve">t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)</m:t>
                      </m:r>
                    </m:num>
                    <m:den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O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(</m:t>
                      </m:r>
                      <m:sSub>
                        <m:e>
                          <m:r>
                            <m:t xml:space="preserve">C</m:t>
                          </m:r>
                        </m:e>
                        <m:sub>
                          <m:r>
                            <m:t xml:space="preserve">s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)</m:t>
                      </m:r>
                    </m:den>
                  </m:f>
                </m:e>
              </m:d>
            </m:e>
            <m:lim>
              <m:r>
                <m:rPr>
                  <m:nor/>
                  <m:sty m:val="p"/>
                </m:rPr>
                <m:t xml:space="preserve">hypoxia arm</m:t>
              </m:r>
            </m:lim>
          </m:limUpp>
          <m:r>
            <m:rPr>
              <m:sty m:val="p"/>
            </m:rPr>
            <m:t xml:space="preserve">⋅</m:t>
          </m:r>
          <m:limUp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 xml:space="preserve">f</m:t>
                              </m:r>
                            </m:e>
                            <m:sub>
                              <m:r>
                                <m:t xml:space="preserve"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 xml:space="preserve">(</m:t>
                          </m:r>
                          <m:sSub>
                            <m:e>
                              <m:r>
                                <m:t xml:space="preserve">C</m:t>
                              </m:r>
                            </m:e>
                            <m:sub>
                              <m:r>
                                <m:t xml:space="preserve"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 xml:space="preserve">)</m:t>
                          </m:r>
                          <m:r>
                            <m:rPr>
                              <m:sty m:val="p"/>
                            </m:rPr>
                            <m:t xml:space="preserve">/</m:t>
                          </m:r>
                          <m:sSub>
                            <m:e>
                              <m:r>
                                <m:t xml:space="preserve">f</m:t>
                              </m:r>
                            </m:e>
                            <m:sub>
                              <m:r>
                                <m:t xml:space="preserve"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 xml:space="preserve">(</m:t>
                          </m:r>
                          <m:sSub>
                            <m:e>
                              <m:r>
                                <m:t xml:space="preserve">C</m:t>
                              </m:r>
                            </m:e>
                            <m:sub>
                              <m:r>
                                <m:t xml:space="preserve">s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 xml:space="preserve">)</m:t>
                          </m:r>
                        </m:num>
                        <m:den>
                          <m:sSub>
                            <m:e>
                              <m:r>
                                <m:t xml:space="preserve">N</m:t>
                              </m:r>
                            </m:e>
                            <m:sub>
                              <m:r>
                                <m:t xml:space="preserve">s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 xml:space="preserve">/</m:t>
                          </m:r>
                          <m:sSub>
                            <m:e>
                              <m:r>
                                <m:t xml:space="preserve">N</m:t>
                              </m:r>
                            </m:e>
                            <m:sub>
                              <m:r>
                                <m:t xml:space="preserve"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Q</m:t>
                      </m:r>
                    </m:sub>
                  </m:sSub>
                </m:sup>
              </m:sSup>
            </m:e>
            <m:lim>
              <m:r>
                <m:rPr>
                  <m:nor/>
                  <m:sty m:val="p"/>
                </m:rPr>
                <m:t xml:space="preserve">quorum arm</m:t>
              </m:r>
            </m:lim>
          </m:limUpp>
          <m:r>
            <m:rPr>
              <m:sty m:val="p"/>
            </m:rPr>
            <m:t xml:space="preserve">⋅</m:t>
          </m:r>
          <m:limUp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 xml:space="preserve">ρ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 xml:space="preserve">anox</m:t>
                      </m:r>
                    </m:sub>
                  </m:sSub>
                  <m:sSub>
                    <m:e>
                      <m:r>
                        <m:t xml:space="preserve">ρ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 xml:space="preserve">glu</m:t>
                      </m:r>
                    </m:sub>
                  </m:sSub>
                </m:e>
              </m:d>
            </m:e>
            <m:lim>
              <m:r>
                <m:rPr>
                  <m:nor/>
                  <m:sty m:val="p"/>
                </m:rPr>
                <m:t xml:space="preserve">native repression</m:t>
              </m:r>
            </m:lim>
          </m:limUpp>
          <m:r>
            <m:rPr>
              <m:nor/>
              <m:sty m:val="p"/>
            </m:rPr>
            <m:t xml:space="preserve">   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3.1</m:t>
          </m:r>
          <m:r>
            <m:rPr>
              <m:nor/>
              <m:sty m:val="p"/>
            </m:rPr>
            <m:t xml:space="preserve">-</m:t>
          </m:r>
          <m:r>
            <m:rPr>
              <m:sty m:val="p"/>
            </m:rPr>
            <m:t xml:space="preserve">4</m:t>
          </m:r>
          <m:r>
            <m:rPr>
              <m:sty m:val="p"/>
            </m:rPr>
            <m:t xml:space="preserve">)</m:t>
          </m:r>
        </m:oMath>
      </m:oMathPara>
    </w:p>
    <w:p>
      <w:pPr>
        <w:pStyle w:val="FirstParagraph"/>
      </w:pPr>
      <w:r>
        <w:t xml:space="preserve">with a site table giving lactate and oxygen per site, each with bounds, a</w:t>
      </w:r>
      <w:r>
        <w:t xml:space="preserve"> </w:t>
      </w:r>
      <w:r>
        <w:t xml:space="preserve">literature source and an evidence grade.</w:t>
      </w:r>
    </w:p>
    <w:bookmarkEnd w:id="19"/>
    <w:bookmarkStart w:id="20" w:name="test-v1"/>
    <w:p>
      <w:pPr>
        <w:pStyle w:val="Heading3"/>
      </w:pPr>
      <w:r>
        <w:t xml:space="preserve">Test (v1)</w:t>
      </w:r>
    </w:p>
    <w:p>
      <w:pPr>
        <w:pStyle w:val="FirstParagraph"/>
      </w:pPr>
      <w:r>
        <w:t xml:space="preserve">We scored every site on the list — tumour rim, colonic mucosa, well-perfused</w:t>
      </w:r>
      <w:r>
        <w:t xml:space="preserve"> </w:t>
      </w:r>
      <w:r>
        <w:t xml:space="preserve">tissue — against the tumour core, and swept the quorum Hill coefficient over its</w:t>
      </w:r>
      <w:r>
        <w:t xml:space="preserve"> </w:t>
      </w:r>
      <w:r>
        <w:t xml:space="preserve">whole plausible range rather than trusting one value. Every site came out in the</w:t>
      </w:r>
      <w:r>
        <w:t xml:space="preserve"> </w:t>
      </w:r>
      <w:r>
        <w:t xml:space="preserve">tumour's favour, with margin to spare, across the whole sweep.</w:t>
      </w:r>
      <w:r>
        <w:t xml:space="preserve"> </w:t>
      </w:r>
      <w:r>
        <w:rPr>
          <w:b/>
          <w:bCs/>
        </w:rPr>
        <w:t xml:space="preserve">By its own</w:t>
      </w:r>
      <w:r>
        <w:rPr>
          <w:b/>
          <w:bCs/>
        </w:rPr>
        <w:t xml:space="preserve"> </w:t>
      </w:r>
      <w:r>
        <w:rPr>
          <w:b/>
          <w:bCs/>
        </w:rPr>
        <w:t xml:space="preserve">criterion the model passed, and we were ready to report it.</w:t>
      </w:r>
    </w:p>
    <w:bookmarkEnd w:id="20"/>
    <w:bookmarkStart w:id="21" w:name="learn-v1"/>
    <w:p>
      <w:pPr>
        <w:pStyle w:val="Heading3"/>
      </w:pPr>
      <w:r>
        <w:t xml:space="preserve">Learn (v1)</w:t>
      </w:r>
    </w:p>
    <w:p>
      <w:pPr>
        <w:pStyle w:val="FirstParagraph"/>
      </w:pPr>
      <w:r>
        <w:t xml:space="preserve">Then someone asked what was</w:t>
      </w:r>
      <w:r>
        <w:t xml:space="preserve"> </w:t>
      </w:r>
      <w:r>
        <w:rPr>
          <w:i/>
          <w:iCs/>
        </w:rPr>
        <w:t xml:space="preserve">on</w:t>
      </w:r>
      <w:r>
        <w:t xml:space="preserve"> </w:t>
      </w:r>
      <w:r>
        <w:t xml:space="preserve">the list. The answer was: the sites we had</w:t>
      </w:r>
      <w:r>
        <w:t xml:space="preserve"> </w:t>
      </w:r>
      <w:r>
        <w:t xml:space="preserve">inherited — and</w:t>
      </w:r>
      <w:r>
        <w:t xml:space="preserve"> </w:t>
      </w:r>
      <w:r>
        <w:rPr>
          <w:b/>
          <w:bCs/>
        </w:rPr>
        <w:t xml:space="preserve">no gut lumen</w:t>
      </w:r>
      <w:r>
        <w:t xml:space="preserve">. The delivery route is oral, so the colonic</w:t>
      </w:r>
      <w:r>
        <w:t xml:space="preserve"> </w:t>
      </w:r>
      <w:r>
        <w:t xml:space="preserve">lumen is where this organism spends most of its life, and it was the one place</w:t>
      </w:r>
      <w:r>
        <w:t xml:space="preserve"> </w:t>
      </w:r>
      <w:r>
        <w:t xml:space="preserve">the model had never been asked about. A site list that leaves out the organism's</w:t>
      </w:r>
      <w:r>
        <w:t xml:space="preserve"> </w:t>
      </w:r>
      <w:r>
        <w:t xml:space="preserve">own habitat returns a reassuring answer whatever the equations do.</w:t>
      </w:r>
    </w:p>
    <w:p>
      <w:pPr>
        <w:pStyle w:val="BodyText"/>
      </w:pPr>
      <w:r>
        <w:rPr>
          <w:b/>
          <w:bCs/>
        </w:rPr>
        <w:t xml:space="preserve">The bug was not in the equations. It was in the list of things the model was</w:t>
      </w:r>
      <w:r>
        <w:rPr>
          <w:b/>
          <w:bCs/>
        </w:rPr>
        <w:t xml:space="preserve"> </w:t>
      </w:r>
      <w:r>
        <w:rPr>
          <w:b/>
          <w:bCs/>
        </w:rPr>
        <w:t xml:space="preserve">asked about</w:t>
      </w:r>
      <w:r>
        <w:t xml:space="preserve"> </w:t>
      </w:r>
      <w:r>
        <w:t xml:space="preserve">— the most dangerous kind, because nothing in the output looks</w:t>
      </w:r>
      <w:r>
        <w:t xml:space="preserve"> </w:t>
      </w:r>
      <w:r>
        <w:t xml:space="preserve">wrong.</w:t>
      </w:r>
    </w:p>
    <w:bookmarkEnd w:id="21"/>
    <w:bookmarkStart w:id="22" w:name="design-v2"/>
    <w:p>
      <w:pPr>
        <w:pStyle w:val="Heading3"/>
      </w:pPr>
      <w:r>
        <w:t xml:space="preserve">Design (v2)</w:t>
      </w:r>
    </w:p>
    <w:p>
      <w:pPr>
        <w:pStyle w:val="FirstParagraph"/>
      </w:pPr>
      <w:r>
        <w:t xml:space="preserve">The v1 Learn located the fault in the site list, not in the equations — so the</w:t>
      </w:r>
      <w:r>
        <w:t xml:space="preserve"> </w:t>
      </w:r>
      <w:r>
        <w:t xml:space="preserve">v2 design changes the list and nothing else.</w:t>
      </w:r>
      <w:r>
        <w:t xml:space="preserve"> </w:t>
      </w:r>
      <w:r>
        <w:rPr>
          <w:b/>
          <w:bCs/>
        </w:rPr>
        <w:t xml:space="preserve">Eqs. (3.1-1), (3.1-2) and (3.1-4)</w:t>
      </w:r>
      <w:r>
        <w:rPr>
          <w:b/>
          <w:bCs/>
        </w:rPr>
        <w:t xml:space="preserve"> </w:t>
      </w:r>
      <w:r>
        <w:rPr>
          <w:b/>
          <w:bCs/>
        </w:rPr>
        <w:t xml:space="preserve">are kept exactly as they were</w:t>
      </w:r>
      <w:r>
        <w:t xml:space="preserve">, deliberately: if the answer moves, we need to</w:t>
      </w:r>
      <w:r>
        <w:t xml:space="preserve"> </w:t>
      </w:r>
      <w:r>
        <w:t xml:space="preserve">be able to say it moved because of the sites we added, and not because we</w:t>
      </w:r>
      <w:r>
        <w:t xml:space="preserve"> </w:t>
      </w:r>
      <w:r>
        <w:t xml:space="preserve">re-tuned a model at the same time.</w:t>
      </w:r>
    </w:p>
    <w:p>
      <w:pPr>
        <w:pStyle w:val="BodyText"/>
      </w:pPr>
      <w:r>
        <w:t xml:space="preserve">What goes in are the luminal sites, with their real numbers. A healthy rectal</w:t>
      </w:r>
      <w:r>
        <w:t xml:space="preserve"> </w:t>
      </w:r>
      <w:r>
        <w:t xml:space="preserve">lumen carries</w:t>
      </w:r>
      <w:r>
        <w:t xml:space="preserve"> </w:t>
      </w:r>
      <w:r>
        <w:t xml:space="preserve">about 0.5 mM L-lactate (range 0–1.6) and 0.1 mM D-lactate (0–0.8) (Crit Care</w:t>
      </w:r>
      <w:r>
        <w:t xml:space="preserve"> </w:t>
      </w:r>
      <w:r>
        <w:t xml:space="preserve">2006, PMC1794470), and healthy faeces stay below 5 mM (Duncan et al., AEM 2004).</w:t>
      </w:r>
      <w:r>
        <w:t xml:space="preserve"> </w:t>
      </w:r>
      <w:r>
        <w:t xml:space="preserve">Against the tumour reference of 8 mM those look harmless. But in ulcerative</w:t>
      </w:r>
      <w:r>
        <w:t xml:space="preserve"> </w:t>
      </w:r>
      <w:r>
        <w:t xml:space="preserve">colitis or short bowel syndrome luminal lactate reaches</w:t>
      </w:r>
      <w:r>
        <w:t xml:space="preserve"> </w:t>
      </w:r>
      <w:r>
        <w:rPr>
          <w:b/>
          <w:bCs/>
        </w:rPr>
        <w:t xml:space="preserve">100 mM</w:t>
      </w:r>
      <w:r>
        <w:t xml:space="preserve"> </w:t>
      </w:r>
      <w:r>
        <w:t xml:space="preserve">(Mayeur et</w:t>
      </w:r>
      <w:r>
        <w:t xml:space="preserve"> </w:t>
      </w:r>
      <w:r>
        <w:t xml:space="preserve">al., PLoS ONE 2013; Hove &amp; Mortensen 1994) —</w:t>
      </w:r>
      <w:r>
        <w:t xml:space="preserve"> </w:t>
      </w:r>
      <w:r>
        <w:rPr>
          <w:b/>
          <w:bCs/>
        </w:rPr>
        <w:t xml:space="preserve">twelve times the tumour value</w:t>
      </w:r>
      <w:r>
        <w:t xml:space="preserve">,</w:t>
      </w:r>
      <w:r>
        <w:t xml:space="preserve"> </w:t>
      </w:r>
      <w:r>
        <w:t xml:space="preserve">and that is the case the first site list never asked about.</w:t>
      </w:r>
    </w:p>
    <w:bookmarkEnd w:id="22"/>
    <w:bookmarkStart w:id="23" w:name="build-v2"/>
    <w:p>
      <w:pPr>
        <w:pStyle w:val="Heading3"/>
      </w:pPr>
      <w:r>
        <w:t xml:space="preserve">Build (v2)</w:t>
      </w:r>
    </w:p>
    <w:p>
      <w:pPr>
        <w:pStyle w:val="FirstParagraph"/>
      </w:pPr>
      <w:r>
        <w:t xml:space="preserve">The same scoring code, re-run over the extended site table. No parameter was</w:t>
      </w:r>
      <w:r>
        <w:t xml:space="preserve"> </w:t>
      </w:r>
      <w:r>
        <w:t xml:space="preserve">re-fitted and no term was added; the only difference from v1 is four more rows,</w:t>
      </w:r>
      <w:r>
        <w:t xml:space="preserve"> </w:t>
      </w:r>
      <w:r>
        <w:t xml:space="preserve">each with its own bounds, literature source and evidence grade.</w:t>
      </w:r>
    </w:p>
    <w:bookmarkEnd w:id="23"/>
    <w:bookmarkStart w:id="27" w:name="test-v2"/>
    <w:p>
      <w:pPr>
        <w:pStyle w:val="Heading3"/>
      </w:pPr>
      <w:r>
        <w:t xml:space="preserve">Test (v2)</w:t>
      </w:r>
    </w:p>
    <w:p>
      <w:pPr>
        <w:pStyle w:val="FirstParagraph"/>
      </w:pPr>
      <w:r>
        <w:t xml:space="preserve">Analytically first. Both arms are monotone in their own stimulus, so the lactate</w:t>
      </w:r>
      <w:r>
        <w:t xml:space="preserve"> </w:t>
      </w:r>
      <w:r>
        <w:t xml:space="preserve">arm's discriminating power has a closed-form ceiling — set either by the</w:t>
      </w:r>
      <w:r>
        <w:t xml:space="preserve"> </w:t>
      </w:r>
      <w:r>
        <w:t xml:space="preserve">concentration ratio or by basal expression, whichever binds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 xml:space="preserve">discrimination</m:t>
          </m:r>
          <m:r>
            <m:t xml:space="preserve"> </m:t>
          </m:r>
          <m:r>
            <m:rPr>
              <m:sty m:val="p"/>
            </m:rPr>
            <m:t xml:space="preserve">≤</m:t>
          </m:r>
          <m:r>
            <m:t xml:space="preserve"> </m:t>
          </m:r>
          <m:r>
            <m:rPr>
              <m:sty m:val="p"/>
            </m:rPr>
            <m:t xml:space="preserve">min</m:t>
          </m:r>
          <m:r>
            <m:t xml:space="preserve"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 xml:space="preserve">L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 xml:space="preserve">target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 xml:space="preserve">L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 xml:space="preserve">off-target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L</m:t>
                      </m:r>
                    </m:sub>
                  </m:sSub>
                </m:sup>
              </m:sSup>
              <m:r>
                <m:rPr>
                  <m:sty m:val="p"/>
                </m:rPr>
                <m:t xml:space="preserve">,</m:t>
              </m:r>
              <m:r>
                <m:t xml:space="preserve"> </m:t>
              </m:r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L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Wild-type</w:t>
      </w:r>
      <w:r>
        <w:t xml:space="preserve"> </w:t>
      </w:r>
      <w:r>
        <w:rPr>
          <w:rStyle w:val="VerbatimChar"/>
        </w:rPr>
        <w:t xml:space="preserve">lldPRD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 xml:space="preserve">b</m:t>
            </m:r>
          </m:e>
          <m:sub>
            <m:r>
              <m:t xml:space="preserve">L</m:t>
            </m:r>
          </m:sub>
        </m:sSub>
        <m:r>
          <m:rPr>
            <m:sty m:val="p"/>
          </m:rPr>
          <m:t xml:space="preserve">≈</m:t>
        </m:r>
        <m:r>
          <m:t xml:space="preserve">1</m:t>
        </m:r>
        <m:r>
          <m:rPr>
            <m:sty m:val="p"/>
          </m:rPr>
          <m:t xml:space="preserve">/</m:t>
        </m:r>
        <m:r>
          <m:t xml:space="preserve">7</m:t>
        </m:r>
      </m:oMath>
      <w:r>
        <w:t xml:space="preserve">, so</w:t>
      </w:r>
      <w:r>
        <w:t xml:space="preserve"> </w:t>
      </w:r>
      <w:r>
        <w:rPr>
          <w:b/>
          <w:bCs/>
        </w:rPr>
        <w:t xml:space="preserve">the lactate arm cannot</w:t>
      </w:r>
      <w:r>
        <w:rPr>
          <w:b/>
          <w:bCs/>
        </w:rPr>
        <w:t xml:space="preserve"> </w:t>
      </w:r>
      <w:r>
        <w:rPr>
          <w:b/>
          <w:bCs/>
        </w:rPr>
        <w:t xml:space="preserve">discriminate better than 7×, for any Hill coefficient and any EC50.</w:t>
      </w:r>
      <w:r>
        <w:t xml:space="preserve"> </w:t>
      </w:r>
      <w:r>
        <w:t xml:space="preserve">No amount</w:t>
      </w:r>
      <w:r>
        <w:t xml:space="preserve"> </w:t>
      </w:r>
      <w:r>
        <w:t xml:space="preserve">of tuning rescues it.</w:t>
      </w:r>
    </w:p>
    <w:p>
      <w:pPr>
        <w:pStyle w:val="BodyText"/>
      </w:pPr>
      <w:r>
        <w:t xml:space="preserve">Then numerically, on the designed arms alone (Fig. 2):</w:t>
      </w:r>
    </w:p>
    <w:p>
      <w:pPr>
        <w:pStyle w:val="Compact"/>
        <w:numPr>
          <w:ilvl w:val="0"/>
          <w:numId w:val="1001"/>
        </w:numPr>
      </w:pPr>
      <w:r>
        <w:t xml:space="preserve">The colonic lumen is</w:t>
      </w:r>
      <w:r>
        <w:t xml:space="preserve"> </w:t>
      </w:r>
      <w:r>
        <w:rPr>
          <w:b/>
          <w:bCs/>
        </w:rPr>
        <w:t xml:space="preserve">anoxic (0 % O₂)</w:t>
      </w:r>
      <w:r>
        <w:t xml:space="preserve">; a tumour core is merely</w:t>
      </w:r>
      <w:r>
        <w:t xml:space="preserve"> </w:t>
      </w:r>
      <w:r>
        <w:rPr>
          <w:b/>
          <w:bCs/>
        </w:rPr>
        <w:t xml:space="preserve">hypoxic</w:t>
      </w:r>
      <w:r>
        <w:rPr>
          <w:b/>
          <w:bCs/>
        </w:rPr>
        <w:t xml:space="preserve"> </w:t>
      </w:r>
      <w:r>
        <w:rPr>
          <w:b/>
          <w:bCs/>
        </w:rPr>
        <w:t xml:space="preserve">(≈0.5 %)</w:t>
      </w:r>
      <w:r>
        <w:t xml:space="preserve">. By Eq. (3.1-2) the hypoxia arm is</w:t>
      </w:r>
      <w:r>
        <w:t xml:space="preserve"> </w:t>
      </w:r>
      <w:r>
        <w:rPr>
          <w:b/>
          <w:bCs/>
        </w:rPr>
        <w:t xml:space="preserve">counter-selective</w:t>
      </w:r>
      <w:r>
        <w:t xml:space="preserve"> </w:t>
      </w:r>
      <w:r>
        <w:t xml:space="preserve">at all</w:t>
      </w:r>
      <w:r>
        <w:t xml:space="preserve"> </w:t>
      </w:r>
      <w:r>
        <w:t xml:space="preserve">three luminal sites.</w:t>
      </w:r>
    </w:p>
    <w:p>
      <w:pPr>
        <w:pStyle w:val="Compact"/>
        <w:numPr>
          <w:ilvl w:val="0"/>
          <w:numId w:val="1001"/>
        </w:numPr>
      </w:pPr>
      <w:r>
        <w:t xml:space="preserve">Under dysbiosis, luminal lactate reaches</w:t>
      </w:r>
      <w:r>
        <w:t xml:space="preserve"> </w:t>
      </w:r>
      <w:r>
        <w:rPr>
          <w:b/>
          <w:bCs/>
        </w:rPr>
        <w:t xml:space="preserve">12× the tumour value</w:t>
      </w:r>
      <w:r>
        <w:t xml:space="preserve"> </w:t>
      </w:r>
      <w:r>
        <w:t xml:space="preserve">— so</w:t>
      </w:r>
      <w:r>
        <w:t xml:space="preserve"> </w:t>
      </w:r>
      <w:r>
        <w:rPr>
          <w:b/>
          <w:bCs/>
        </w:rPr>
        <w:t xml:space="preserve">both</w:t>
      </w:r>
      <w:r>
        <w:rPr>
          <w:b/>
          <w:bCs/>
        </w:rPr>
        <w:t xml:space="preserve"> </w:t>
      </w:r>
      <w:r>
        <w:rPr>
          <w:b/>
          <w:bCs/>
        </w:rPr>
        <w:t xml:space="preserve">arms are counter-selective at once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All three luminal sites score</w:t>
      </w:r>
      <w:r>
        <w:t xml:space="preserve"> </w:t>
      </w:r>
      <w:r>
        <w:rPr>
          <w:b/>
          <w:bCs/>
        </w:rPr>
        <w:t xml:space="preserve">below 1.0</w:t>
      </w:r>
      <w:r>
        <w:t xml:space="preserve">: the gate prefers the gut to the</w:t>
      </w:r>
      <w:r>
        <w:t xml:space="preserve"> </w:t>
      </w:r>
      <w:r>
        <w:t xml:space="preserve">tumour.</w:t>
      </w:r>
    </w:p>
    <w:p>
      <w:pPr>
        <w:pStyle w:val="FirstParagraph"/>
      </w:pPr>
      <w:r>
        <w:drawing>
          <wp:inline>
            <wp:extent cx="5760720" cy="3081315"/>
            <wp:effectExtent b="0" l="0" r="0" t="0"/>
            <wp:docPr descr="Tumour-over-site output ratio for each designed sensor arm" title="" id="25" name="Picture"/>
            <a:graphic>
              <a:graphicData uri="http://schemas.openxmlformats.org/drawingml/2006/picture">
                <pic:pic>
                  <pic:nvPicPr>
                    <pic:cNvPr descr="outputs/figures/fig3_3_arm_direc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Svg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1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2. Tumour-over-site output ratio of each designed sensor arm at</w:t>
      </w:r>
      <w:r>
        <w:rPr>
          <w:b/>
          <w:bCs/>
        </w:rPr>
        <w:t xml:space="preserve"> </w:t>
      </w:r>
      <w:r>
        <w:rPr>
          <w:b/>
          <w:bCs/>
        </w:rPr>
        <w:t xml:space="preserve">six off-target sites.</w:t>
      </w:r>
      <w:r>
        <w:t xml:space="preserve"> </w:t>
      </w:r>
      <w:r>
        <w:t xml:space="preserve">Each pair of bars gives the ratio of that arm's output in</w:t>
      </w:r>
      <w:r>
        <w:t xml:space="preserve"> </w:t>
      </w:r>
      <w:r>
        <w:t xml:space="preserve">the tumour core to its output at the site named on the left, on a logarithmic</w:t>
      </w:r>
      <w:r>
        <w:t xml:space="preserve"> </w:t>
      </w:r>
      <w:r>
        <w:t xml:space="preserve">axis: blue is the lactate arm, orange the hypoxia arm. The vertical line marks a</w:t>
      </w:r>
      <w:r>
        <w:t xml:space="preserve"> </w:t>
      </w:r>
      <w:r>
        <w:t xml:space="preserve">ratio of 1, labelled "no discrimination", and the shaded band to its left marks</w:t>
      </w:r>
      <w:r>
        <w:t xml:space="preserve"> </w:t>
      </w:r>
      <w:r>
        <w:t xml:space="preserve">ratios below it, labelled "anti-selective"; where a ratio is 1 a tick replaces</w:t>
      </w:r>
      <w:r>
        <w:t xml:space="preserve"> </w:t>
      </w:r>
      <w:r>
        <w:t xml:space="preserve">the bar. The native lldPRD repression is not included in either arm. The lactate</w:t>
      </w:r>
      <w:r>
        <w:t xml:space="preserve"> </w:t>
      </w:r>
      <w:r>
        <w:t xml:space="preserve">arm is drawn at EC50 1.6 mM and Hill 1, the hypoxia arm at K = 0.49 % O₂ and</w:t>
      </w:r>
      <w:r>
        <w:t xml:space="preserve"> </w:t>
      </w:r>
      <w:r>
        <w:t xml:space="preserve">Hill 2.</w:t>
      </w:r>
    </w:p>
    <w:bookmarkEnd w:id="27"/>
    <w:bookmarkStart w:id="28" w:name="learn-v2"/>
    <w:p>
      <w:pPr>
        <w:pStyle w:val="Heading3"/>
      </w:pPr>
      <w:r>
        <w:t xml:space="preserve">Learn (v2)</w:t>
      </w:r>
    </w:p>
    <w:p>
      <w:pPr>
        <w:pStyle w:val="FirstParagraph"/>
      </w:pPr>
      <w:r>
        <w:rPr>
          <w:b/>
          <w:bCs/>
        </w:rPr>
        <w:t xml:space="preserve">The circuit survives, because of a property of the part we had not been</w:t>
      </w:r>
      <w:r>
        <w:rPr>
          <w:b/>
          <w:bCs/>
        </w:rPr>
        <w:t xml:space="preserve"> </w:t>
      </w:r>
      <w:r>
        <w:rPr>
          <w:b/>
          <w:bCs/>
        </w:rPr>
        <w:t xml:space="preserve">crediting.</w:t>
      </w:r>
      <w:r>
        <w:t xml:space="preserve"> </w:t>
      </w:r>
      <w:r>
        <w:rPr>
          <w:rStyle w:val="VerbatimChar"/>
        </w:rPr>
        <w:t xml:space="preserve">BBa_M36021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native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rPr>
          <w:rStyle w:val="VerbatimChar"/>
        </w:rPr>
        <w:t xml:space="preserve">lldPRD</w:t>
      </w:r>
      <w:r>
        <w:t xml:space="preserve"> </w:t>
      </w:r>
      <w:r>
        <w:t xml:space="preserve">operon promoter,</w:t>
      </w:r>
      <w:r>
        <w:t xml:space="preserve"> </w:t>
      </w:r>
      <w:r>
        <w:t xml:space="preserve">so its anaerobic and glucose repression are intact — the</w:t>
      </w:r>
      <w:r>
        <w:t xml:space="preserve"> </w:t>
      </w:r>
      <m:oMath>
        <m:sSub>
          <m:e>
            <m:r>
              <m:t xml:space="preserve">ρ</m:t>
            </m:r>
          </m:e>
          <m:sub>
            <m:r>
              <m:rPr>
                <m:nor/>
                <m:sty m:val="p"/>
              </m:rPr>
              <m:t xml:space="preserve">anox</m:t>
            </m:r>
          </m:sub>
        </m:sSub>
        <m:sSub>
          <m:e>
            <m:r>
              <m:t xml:space="preserve">ρ</m:t>
            </m:r>
          </m:e>
          <m:sub>
            <m:r>
              <m:rPr>
                <m:nor/>
                <m:sty m:val="p"/>
              </m:rPr>
              <m:t xml:space="preserve">glu</m:t>
            </m:r>
          </m:sub>
        </m:sSub>
      </m:oMath>
      <w:r>
        <w:t xml:space="preserve"> </w:t>
      </w:r>
      <w:r>
        <w:t xml:space="preserve">term of Eq. (3.1-4), which we had been</w:t>
      </w:r>
      <w:r>
        <w:t xml:space="preserve"> </w:t>
      </w:r>
      <w:r>
        <w:t xml:space="preserve">carrying as 1. The colonic lumen is anoxic and proximally glucose-rich; a tumour</w:t>
      </w:r>
      <w:r>
        <w:t xml:space="preserve"> </w:t>
      </w:r>
      <w:r>
        <w:t xml:space="preserve">core is hypoxic-but-not-anoxic and glucose-depleted by the Warburg effect. The</w:t>
      </w:r>
      <w:r>
        <w:t xml:space="preserve"> </w:t>
      </w:r>
      <w:r>
        <w:t xml:space="preserve">repression therefore</w:t>
      </w:r>
      <w:r>
        <w:t xml:space="preserve"> </w:t>
      </w:r>
      <w:r>
        <w:rPr>
          <w:b/>
          <w:bCs/>
        </w:rPr>
        <w:t xml:space="preserve">engages in the lumen and releases in the tumour</w:t>
      </w:r>
      <w:r>
        <w:t xml:space="preserve">: 87–228×</w:t>
      </w:r>
      <w:r>
        <w:t xml:space="preserve"> </w:t>
      </w:r>
      <w:r>
        <w:t xml:space="preserve">luminal discrimination, where the designed arms alone give 0.87–2.28×. The worst</w:t>
      </w:r>
      <w:r>
        <w:t xml:space="preserve"> </w:t>
      </w:r>
      <w:r>
        <w:t xml:space="preserve">site needs only ≈12-fold repression.</w:t>
      </w:r>
    </w:p>
    <w:p>
      <w:pPr>
        <w:pStyle w:val="BodyText"/>
      </w:pPr>
      <w:r>
        <w:rPr>
          <w:b/>
          <w:bCs/>
        </w:rPr>
        <w:t xml:space="preserve">🔴 This reversed a planned build decision.</w:t>
      </w:r>
      <w:r>
        <w:t xml:space="preserve"> </w:t>
      </w:r>
      <w:r>
        <w:t xml:space="preserve">Our July route-map said</w:t>
      </w:r>
      <w:r>
        <w:t xml:space="preserve"> </w:t>
      </w:r>
      <w:r>
        <w:rPr>
          <w:i/>
          <w:iCs/>
        </w:rPr>
        <w:t xml:space="preserve">"replace</w:t>
      </w:r>
      <w:r>
        <w:rPr>
          <w:i/>
          <w:iCs/>
        </w:rPr>
        <w:t xml:space="preserve"> </w:t>
      </w:r>
      <w:r>
        <w:rPr>
          <w:i/>
          <w:iCs/>
        </w:rPr>
        <w:t xml:space="preserve">with a lactate sensor optimised for hypoxic, glucose-rich conditions"</w:t>
      </w:r>
      <w:r>
        <w:t xml:space="preserve"> </w:t>
      </w:r>
      <w:r>
        <w:t xml:space="preserve">— i.e.</w:t>
      </w:r>
      <w:r>
        <w:t xml:space="preserve"> </w:t>
      </w:r>
      <w:r>
        <w:t xml:space="preserve">swap in a de-repressed variant to raise intratumoural expression.</w:t>
      </w:r>
      <w:r>
        <w:t xml:space="preserve"> </w:t>
      </w:r>
      <w:r>
        <w:rPr>
          <w:b/>
          <w:bCs/>
        </w:rPr>
        <w:t xml:space="preserve">That would</w:t>
      </w:r>
      <w:r>
        <w:rPr>
          <w:b/>
          <w:bCs/>
        </w:rPr>
        <w:t xml:space="preserve"> </w:t>
      </w:r>
      <w:r>
        <w:rPr>
          <w:b/>
          <w:bCs/>
        </w:rPr>
        <w:t xml:space="preserve">delete the</w:t>
      </w:r>
      <w:r>
        <w:rPr>
          <w:b/>
          <w:bCs/>
        </w:rPr>
        <w:t xml:space="preserve"> </w:t>
      </w:r>
      <m:oMath>
        <m:sSub>
          <m:e>
            <m:r>
              <m:t xml:space="preserve">ρ</m:t>
            </m:r>
          </m:e>
          <m:sub>
            <m:r>
              <m:rPr>
                <m:nor/>
                <m:sty m:val="p"/>
              </m:rPr>
              <m:t xml:space="preserve">anox</m:t>
            </m:r>
          </m:sub>
        </m:sSub>
        <m:sSub>
          <m:e>
            <m:r>
              <m:t xml:space="preserve">ρ</m:t>
            </m:r>
          </m:e>
          <m:sub>
            <m:r>
              <m:rPr>
                <m:nor/>
                <m:sty m:val="p"/>
              </m:rPr>
              <m:t xml:space="preserve">glu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term, which is the only thing</w:t>
      </w:r>
      <w:r>
        <w:rPr>
          <w:b/>
          <w:bCs/>
        </w:rPr>
        <w:t xml:space="preserve"> </w:t>
      </w:r>
      <w:r>
        <w:rPr>
          <w:b/>
          <w:bCs/>
        </w:rPr>
        <w:t xml:space="preserve">holding the colonic lumen off.</w:t>
      </w:r>
      <w:r>
        <w:t xml:space="preserve"> </w:t>
      </w:r>
      <w:r>
        <w:t xml:space="preserve">We rejected the optimisation.</w:t>
      </w:r>
    </w:p>
    <w:p>
      <w:pPr>
        <w:pStyle w:val="BodyText"/>
      </w:pPr>
      <w:r>
        <w:rPr>
          <w:b/>
          <w:bCs/>
        </w:rPr>
        <w:t xml:space="preserve">And one claim here needs no calibration at all.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 xml:space="preserve">d</m:t>
            </m:r>
          </m:e>
          <m:sub>
            <m:sSub>
              <m:e>
                <m:r>
                  <m:t xml:space="preserve">O</m:t>
                </m:r>
              </m:e>
              <m:sub>
                <m:r>
                  <m:t xml:space="preserve">2</m:t>
                </m:r>
              </m:sub>
            </m:sSub>
          </m:sub>
        </m:sSub>
      </m:oMath>
      <w:r>
        <w:t xml:space="preserve"> </w:t>
      </w:r>
      <w:r>
        <w:t xml:space="preserve">the oxygen</w:t>
      </w:r>
      <w:r>
        <w:t xml:space="preserve"> </w:t>
      </w:r>
      <w:r>
        <w:t xml:space="preserve">penetration depth, the hypoxic core radius and volume fraction are pure</w:t>
      </w:r>
      <w:r>
        <w:t xml:space="preserve"> </w:t>
      </w:r>
      <w:r>
        <w:t xml:space="preserve">geometry: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 xml:space="preserve">r</m:t>
              </m:r>
            </m:e>
            <m:sub>
              <m:r>
                <m:rPr>
                  <m:nor/>
                  <m:sty m:val="p"/>
                </m:rPr>
                <m:t xml:space="preserve">core</m:t>
              </m:r>
            </m:sub>
          </m:sSub>
          <m:r>
            <m:rPr>
              <m:sty m:val="p"/>
            </m:rPr>
            <m:t xml:space="preserve">(</m:t>
          </m:r>
          <m:r>
            <m:t xml:space="preserve">R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max</m:t>
          </m:r>
          <m:r>
            <m:t xml:space="preserve">​</m:t>
          </m:r>
          <m:d>
            <m:dPr>
              <m:begChr m:val="("/>
              <m:sepChr m:val=""/>
              <m:endChr m:val=")"/>
              <m:grow/>
            </m:dPr>
            <m:e>
              <m:r>
                <m:t xml:space="preserve">R</m:t>
              </m:r>
              <m:r>
                <m:rPr>
                  <m:sty m:val="p"/>
                </m:rPr>
                <m:t xml:space="preserve">−</m:t>
              </m:r>
              <m:sSub>
                <m:e>
                  <m:r>
                    <m:t xml:space="preserve">d</m:t>
                  </m:r>
                </m:e>
                <m:sub>
                  <m:sSub>
                    <m:e>
                      <m:r>
                        <m:t xml:space="preserve">O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sub>
              </m:sSub>
              <m:r>
                <m:rPr>
                  <m:sty m:val="p"/>
                </m:rPr>
                <m:t xml:space="preserve">,</m:t>
              </m:r>
              <m:r>
                <m:t xml:space="preserve"> </m:t>
              </m:r>
              <m:r>
                <m:t xml:space="preserve">0</m:t>
              </m:r>
            </m:e>
          </m:d>
          <m:r>
            <m:rPr>
              <m:sty m:val="p"/>
            </m:rPr>
            <m:t xml:space="preserve">,</m:t>
          </m:r>
          <m:r>
            <m:t xml:space="preserve">  </m:t>
          </m:r>
          <m:sSub>
            <m:e>
              <m:r>
                <m:t xml:space="preserve">ϕ</m:t>
              </m:r>
            </m:e>
            <m:sub>
              <m:r>
                <m:rPr>
                  <m:nor/>
                  <m:sty m:val="p"/>
                </m:rPr>
                <m:t xml:space="preserve">hyp</m:t>
              </m:r>
            </m:sub>
          </m:sSub>
          <m:r>
            <m:rPr>
              <m:sty m:val="p"/>
            </m:rPr>
            <m:t xml:space="preserve">(</m:t>
          </m:r>
          <m:r>
            <m:t xml:space="preserve">R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 xml:space="preserve">core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(</m:t>
                      </m:r>
                      <m:r>
                        <m:t xml:space="preserve">R</m:t>
                      </m:r>
                      <m:r>
                        <m:rPr>
                          <m:sty m:val="p"/>
                        </m:rPr>
                        <m:t xml:space="preserve">)</m:t>
                      </m:r>
                    </m:num>
                    <m:den>
                      <m:r>
                        <m:t xml:space="preserve">R</m:t>
                      </m:r>
                    </m:den>
                  </m:f>
                </m:e>
              </m:d>
            </m:e>
            <m:sup>
              <m:r>
                <m:t xml:space="preserve">3</m:t>
              </m:r>
            </m:sup>
          </m:sSup>
          <m:r>
            <m:rPr>
              <m:nor/>
              <m:sty m:val="p"/>
            </m:rPr>
            <m:t xml:space="preserve">   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3.2</m:t>
          </m:r>
          <m:r>
            <m:rPr>
              <m:nor/>
              <m:sty m:val="p"/>
            </m:rPr>
            <m:t xml:space="preserve">-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m:oMathPara>
    </w:p>
    <w:p>
      <w:pPr>
        <w:pStyle w:val="FirstParagraph"/>
      </w:pPr>
      <w:r>
        <w:t xml:space="preserve">from which, immediately:</w:t>
      </w:r>
    </w:p>
    <w:p>
      <w:pPr>
        <w:pStyle w:val="BodyText"/>
      </w:pPr>
      <m:oMathPara>
        <m:oMathParaPr>
          <m:jc m:val="center"/>
        </m:oMathParaPr>
        <m:oMath>
          <m:r>
            <m:t xml:space="preserve">R</m:t>
          </m:r>
          <m:r>
            <m:rPr>
              <m:sty m:val="p"/>
            </m:rPr>
            <m:t xml:space="preserve">&lt;</m:t>
          </m:r>
          <m:sSub>
            <m:e>
              <m:r>
                <m:t xml:space="preserve">d</m:t>
              </m:r>
            </m:e>
            <m:sub>
              <m:sSub>
                <m:e>
                  <m:r>
                    <m:t xml:space="preserve">O</m:t>
                  </m:r>
                </m:e>
                <m:sub>
                  <m:r>
                    <m:t xml:space="preserve">2</m:t>
                  </m:r>
                </m:sub>
              </m:sSub>
            </m:sub>
          </m:sSub>
          <m:r>
            <m:t xml:space="preserve"> </m:t>
          </m:r>
          <m:r>
            <m:rPr>
              <m:sty m:val="p"/>
            </m:rPr>
            <m:t xml:space="preserve">⇒</m:t>
          </m:r>
          <m:r>
            <m:t xml:space="preserve"> </m:t>
          </m:r>
          <m:sSub>
            <m:e>
              <m:r>
                <m:t xml:space="preserve">ϕ</m:t>
              </m:r>
            </m:e>
            <m:sub>
              <m:r>
                <m:rPr>
                  <m:nor/>
                  <m:sty m:val="p"/>
                </m:rPr>
                <m:t xml:space="preserve">hyp</m:t>
              </m:r>
            </m:sub>
          </m:sSub>
          <m:r>
            <m:rPr>
              <m:sty m:val="p"/>
            </m:rPr>
            <m:t xml:space="preserve">(</m:t>
          </m:r>
          <m:r>
            <m:t xml:space="preserve">R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≡</m:t>
          </m:r>
          <m:r>
            <m:t xml:space="preserve">0</m:t>
          </m:r>
          <m:r>
            <m:t xml:space="preserve"> </m:t>
          </m:r>
          <m:r>
            <m:rPr>
              <m:sty m:val="p"/>
            </m:rPr>
            <m:t xml:space="preserve">⇒</m:t>
          </m:r>
          <m:r>
            <m:t xml:space="preserve"> </m:t>
          </m:r>
          <m:sSub>
            <m:e>
              <m:bar>
                <m:barPr>
                  <m:pos m:val="top"/>
                </m:barPr>
                <m:e>
                  <m:r>
                    <m:t xml:space="preserve">f</m:t>
                  </m:r>
                </m:e>
              </m:bar>
            </m:e>
            <m:sub>
              <m:r>
                <m:t xml:space="preserve">O</m:t>
              </m:r>
            </m:sub>
          </m:sSub>
          <m:r>
            <m:rPr>
              <m:sty m:val="p"/>
            </m:rPr>
            <m:t xml:space="preserve">(</m:t>
          </m:r>
          <m:r>
            <m:t xml:space="preserve">R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≡</m:t>
          </m:r>
          <m:sSub>
            <m:e>
              <m:r>
                <m:t xml:space="preserve">f</m:t>
              </m:r>
            </m:e>
            <m:sub>
              <m:r>
                <m:t xml:space="preserve">O</m:t>
              </m:r>
            </m:sub>
          </m:sSub>
          <m:r>
            <m:rPr>
              <m:sty m:val="p"/>
            </m:rPr>
            <m:t xml:space="preserve">(</m:t>
          </m:r>
          <m:sSub>
            <m:e>
              <m:r>
                <m:t xml:space="preserve">C</m:t>
              </m:r>
            </m:e>
            <m:sub>
              <m:r>
                <m:rPr>
                  <m:nor/>
                  <m:sty m:val="p"/>
                </m:rPr>
                <m:t xml:space="preserve">rim</m:t>
              </m:r>
            </m:sub>
          </m:sSub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nor/>
              <m:sty m:val="p"/>
            </m:rPr>
            <m:t xml:space="preserve">const</m:t>
          </m:r>
          <m:r>
            <m:rPr>
              <m:nor/>
              <m:sty m:val="p"/>
            </m:rPr>
            <m:t xml:space="preserve">   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3.2</m:t>
          </m:r>
          <m:r>
            <m:rPr>
              <m:nor/>
              <m:sty m:val="p"/>
            </m:rPr>
            <m:t xml:space="preserve">-</m:t>
          </m:r>
          <m:r>
            <m:rPr>
              <m:sty m:val="p"/>
            </m:rPr>
            <m:t xml:space="preserve">5</m:t>
          </m:r>
          <m:r>
            <m:rPr>
              <m:sty m:val="p"/>
            </m:rPr>
            <m:t xml:space="preserve">)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sSub>
          <m:e>
            <m:r>
              <m:t xml:space="preserve">d</m:t>
            </m:r>
          </m:e>
          <m:sub>
            <m:sSub>
              <m:e>
                <m:r>
                  <m:t xml:space="preserve">O</m:t>
                </m:r>
              </m:e>
              <m:sub>
                <m:r>
                  <m:t xml:space="preserve">2</m:t>
                </m:r>
              </m:sub>
            </m:sSub>
          </m:sub>
        </m:sSub>
        <m:r>
          <m:rPr>
            <m:sty m:val="p"/>
          </m:rPr>
          <m:t xml:space="preserve">=</m:t>
        </m:r>
        <m:r>
          <m:t xml:space="preserve">178</m:t>
        </m:r>
      </m:oMath>
      <w:r>
        <w:t xml:space="preserve"> </w:t>
      </w:r>
      <w:r>
        <w:t xml:space="preserve">µm.</w:t>
      </w:r>
      <w:r>
        <w:t xml:space="preserve"> </w:t>
      </w:r>
      <w:r>
        <w:rPr>
          <w:b/>
          <w:bCs/>
        </w:rPr>
        <w:t xml:space="preserve">A lesion smaller than 178 µm has no hypoxic volume</w:t>
      </w:r>
      <w:r>
        <w:rPr>
          <w:b/>
          <w:bCs/>
        </w:rPr>
        <w:t xml:space="preserve"> </w:t>
      </w:r>
      <w:r>
        <w:rPr>
          <w:b/>
          <w:bCs/>
        </w:rPr>
        <w:t xml:space="preserve">at all, so the hypoxia arm cannot fire — for any parameter set, any sensor, any</w:t>
      </w:r>
      <w:r>
        <w:rPr>
          <w:b/>
          <w:bCs/>
        </w:rPr>
        <w:t xml:space="preserve"> </w:t>
      </w:r>
      <w:r>
        <w:rPr>
          <w:b/>
          <w:bCs/>
        </w:rPr>
        <w:t xml:space="preserve">calibration.</w:t>
      </w:r>
      <w:r>
        <w:t xml:space="preserve"> </w:t>
      </w:r>
      <w:r>
        <w:t xml:space="preserve">It is also the one number in the project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measurement confirms: 178 µm falls inside the 160–200 µm bracket Thomlinson &amp;</w:t>
      </w:r>
      <w:r>
        <w:t xml:space="preserve"> </w:t>
      </w:r>
      <w:r>
        <w:t xml:space="preserve">Gray measured histologically in 1955, by a different method on different tissue.</w:t>
      </w:r>
    </w:p>
    <w:p>
      <w:pPr>
        <w:pStyle w:val="BlockText"/>
      </w:pPr>
      <w:r>
        <w:t xml:space="preserve">A note on what this cycle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rest on. We had internally reported a</w:t>
      </w:r>
      <w:r>
        <w:t xml:space="preserve"> </w:t>
      </w:r>
      <w:r>
        <w:t xml:space="preserve">protein-level selectivity index of 11.4× for the effector; checking it against</w:t>
      </w:r>
      <w:r>
        <w:t xml:space="preserve"> </w:t>
      </w:r>
      <w:r>
        <w:t xml:space="preserve">our own data conventions showed it was built from a numerator and a denominator</w:t>
      </w:r>
      <w:r>
        <w:t xml:space="preserve"> </w:t>
      </w:r>
      <w:r>
        <w:t xml:space="preserve">measured in two different experiments, and we withdrew it. The only valid</w:t>
      </w:r>
      <w:r>
        <w:t xml:space="preserve"> </w:t>
      </w:r>
      <w:r>
        <w:t xml:space="preserve">figure is</w:t>
      </w:r>
      <w:r>
        <w:t xml:space="preserve"> </w:t>
      </w:r>
      <w:r>
        <w:rPr>
          <w:b/>
          <w:bCs/>
        </w:rPr>
        <w:t xml:space="preserve">3.33×</w:t>
      </w:r>
      <w:r>
        <w:t xml:space="preserve"> </w:t>
      </w:r>
      <w:r>
        <w:t xml:space="preserve">(4.77 ± 0.80 / 1.43 ± 0.49, n = 3, p &lt; 0.001), paired</w:t>
      </w:r>
      <w:r>
        <w:t xml:space="preserve"> </w:t>
      </w:r>
      <w:r>
        <w:t xml:space="preserve">within one experiment.</w:t>
      </w:r>
      <w:r>
        <w:t xml:space="preserve"> </w:t>
      </w:r>
      <w:r>
        <w:rPr>
          <w:b/>
          <w:bCs/>
        </w:rPr>
        <w:t xml:space="preserve">So the safety argument has to come from the circuit's</w:t>
      </w:r>
      <w:r>
        <w:rPr>
          <w:b/>
          <w:bCs/>
        </w:rPr>
        <w:t xml:space="preserve"> </w:t>
      </w:r>
      <w:r>
        <w:rPr>
          <w:b/>
          <w:bCs/>
        </w:rPr>
        <w:t xml:space="preserve">tissue selectivity — this cycle — and not from any preference the effector has</w:t>
      </w:r>
      <w:r>
        <w:rPr>
          <w:b/>
          <w:bCs/>
        </w:rPr>
        <w:t xml:space="preserve"> </w:t>
      </w:r>
      <w:r>
        <w:rPr>
          <w:b/>
          <w:bCs/>
        </w:rPr>
        <w:t xml:space="preserve">for cancer cells.</w:t>
      </w:r>
    </w:p>
    <w:bookmarkEnd w:id="28"/>
    <w:bookmarkStart w:id="29" w:name="next-iteration-1"/>
    <w:p>
      <w:pPr>
        <w:pStyle w:val="Heading3"/>
      </w:pPr>
      <w:r>
        <w:t xml:space="preserve">Next iteration</w:t>
      </w:r>
    </w:p>
    <w:p>
      <w:pPr>
        <w:pStyle w:val="FirstParagraph"/>
      </w:pPr>
      <w:r>
        <w:t xml:space="preserve">The v2 conclusion rests on one unmeasured quantity: whether</w:t>
      </w:r>
      <w:r>
        <w:t xml:space="preserve"> </w:t>
      </w:r>
      <m:oMath>
        <m:sSub>
          <m:e>
            <m:r>
              <m:t xml:space="preserve">ρ</m:t>
            </m:r>
          </m:e>
          <m:sub>
            <m:r>
              <m:rPr>
                <m:nor/>
                <m:sty m:val="p"/>
              </m:rPr>
              <m:t xml:space="preserve">anox</m:t>
            </m:r>
          </m:sub>
        </m:sSub>
      </m:oMath>
      <w:r>
        <w:t xml:space="preserve"> </w:t>
      </w:r>
      <w:r>
        <w:t xml:space="preserve">really is small at 0 % O₂ and ≈1 at 1 %. That is Cycle 5, and it is the only</w:t>
      </w:r>
      <w:r>
        <w:t xml:space="preserve"> </w:t>
      </w:r>
      <w:r>
        <w:t xml:space="preserve">open item we would call load-bearing.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3" w:name="X9c7dd18eeb7ab19bbd21b2f536cdf205d4c6253"/>
    <w:p>
      <w:pPr>
        <w:pStyle w:val="Heading2"/>
      </w:pPr>
      <w:r>
        <w:t xml:space="preserve">Cycle 3 — The multi-lesion model we did not need to build</w:t>
      </w:r>
    </w:p>
    <w:bookmarkStart w:id="31" w:name="design-v1-1"/>
    <w:p>
      <w:pPr>
        <w:pStyle w:val="Heading3"/>
      </w:pPr>
      <w:r>
        <w:t xml:space="preserve">Design (v1)</w:t>
      </w:r>
    </w:p>
    <w:p>
      <w:pPr>
        <w:pStyle w:val="FirstParagraph"/>
      </w:pPr>
      <w:r>
        <w:t xml:space="preserve">Micro-metastases occur in clusters, and AHL from neighbouring lesions might push</w:t>
      </w:r>
      <w:r>
        <w:t xml:space="preserve"> </w:t>
      </w:r>
      <w:r>
        <w:t xml:space="preserve">a cluster over a quorum threshold that no single lesion reaches. We specified a</w:t>
      </w:r>
      <w:r>
        <w:t xml:space="preserve"> </w:t>
      </w:r>
      <w:r>
        <w:rPr>
          <w:b/>
          <w:bCs/>
        </w:rPr>
        <w:t xml:space="preserve">2D axisymmetric finite-difference model</w:t>
      </w:r>
      <w:r>
        <w:t xml:space="preserve"> </w:t>
      </w:r>
      <w:r>
        <w:t xml:space="preserve">on a diffusion–reaction grid.</w:t>
      </w:r>
    </w:p>
    <w:bookmarkEnd w:id="31"/>
    <w:bookmarkStart w:id="32" w:name="build-v1-1"/>
    <w:p>
      <w:pPr>
        <w:pStyle w:val="Heading3"/>
      </w:pPr>
      <w:r>
        <w:t xml:space="preserve">Build (v1)</w:t>
      </w:r>
    </w:p>
    <w:p>
      <w:pPr>
        <w:pStyle w:val="FirstParagraph"/>
      </w:pPr>
      <w:r>
        <w:t xml:space="preserve">We started the grid and stopped partway. Writing the steady state down in order</w:t>
      </w:r>
      <w:r>
        <w:t xml:space="preserve"> </w:t>
      </w:r>
      <w:r>
        <w:t xml:space="preserve">to discretise it is what exposed the problem — the equation we were about to</w:t>
      </w:r>
      <w:r>
        <w:t xml:space="preserve"> </w:t>
      </w:r>
      <w:r>
        <w:t xml:space="preserve">spend a week approximating is this one:</w:t>
      </w:r>
    </w:p>
    <w:p>
      <w:pPr>
        <w:pStyle w:val="BodyText"/>
      </w:pPr>
      <m:oMathPara>
        <m:oMathParaPr>
          <m:jc m:val="center"/>
        </m:oMathParaPr>
        <m:oMath>
          <m:r>
            <m:t xml:space="preserve">D</m:t>
          </m:r>
          <m:sSup>
            <m:e>
              <m:r>
                <m:rPr>
                  <m:sty m:val="p"/>
                </m:rPr>
                <m:t xml:space="preserve">∇</m:t>
              </m:r>
            </m:e>
            <m:sup>
              <m:r>
                <m:t xml:space="preserve">2</m:t>
              </m:r>
            </m:sup>
          </m:sSup>
          <m:r>
            <m:t xml:space="preserve">C</m:t>
          </m:r>
          <m:r>
            <m:rPr>
              <m:sty m:val="p"/>
            </m:rPr>
            <m:t xml:space="preserve">−</m:t>
          </m:r>
          <m:r>
            <m:t xml:space="preserve">δ</m:t>
          </m:r>
          <m:r>
            <m:t xml:space="preserve">C</m:t>
          </m:r>
          <m:r>
            <m:rPr>
              <m:sty m:val="p"/>
            </m:rPr>
            <m:t xml:space="preserve">+</m:t>
          </m:r>
          <m:r>
            <m:t xml:space="preserve">q</m:t>
          </m:r>
          <m:r>
            <m:rPr>
              <m:sty m:val="p"/>
            </m:rPr>
            <m:t xml:space="preserve">(</m:t>
          </m:r>
          <m:r>
            <m:rPr>
              <m:sty m:val="bi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t xml:space="preserve">0</m:t>
          </m:r>
          <m:r>
            <m:rPr>
              <m:nor/>
              <m:sty m:val="p"/>
            </m:rPr>
            <m:t xml:space="preserve">   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4.4</m:t>
          </m:r>
          <m:r>
            <m:rPr>
              <m:nor/>
              <m:sty m:val="p"/>
            </m:rPr>
            <m:t xml:space="preserve">-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m:oMathPara>
    </w:p>
    <w:bookmarkEnd w:id="32"/>
    <w:bookmarkStart w:id="33" w:name="test-v1-1"/>
    <w:p>
      <w:pPr>
        <w:pStyle w:val="Heading3"/>
      </w:pPr>
      <w:r>
        <w:t xml:space="preserve">Test (v1)</w:t>
      </w:r>
    </w:p>
    <w:p>
      <w:pPr>
        <w:pStyle w:val="FirstParagraph"/>
      </w:pPr>
      <w:r>
        <w:t xml:space="preserve">Before discretising anything we checked the one thing a converged grid can never</w:t>
      </w:r>
      <w:r>
        <w:t xml:space="preserve"> </w:t>
      </w:r>
      <w:r>
        <w:t xml:space="preserve">tell you afterwards: whether Eq. (4.4-1) needs a grid at all. The test is a</w:t>
      </w:r>
      <w:r>
        <w:t xml:space="preserve"> </w:t>
      </w:r>
      <w:r>
        <w:t xml:space="preserve">single question put to the source term —</w:t>
      </w:r>
      <w:r>
        <w:t xml:space="preserve"> </w:t>
      </w: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m:oMath>
        <m:r>
          <m:t xml:space="preserve"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depend on</w:t>
      </w:r>
      <w:r>
        <w:rPr>
          <w:b/>
          <w:bCs/>
        </w:rPr>
        <w:t xml:space="preserve"> </w:t>
      </w:r>
      <m:oMath>
        <m:r>
          <m:t xml:space="preserve">C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— because</w:t>
      </w:r>
      <w:r>
        <w:t xml:space="preserve"> </w:t>
      </w:r>
      <w:r>
        <w:t xml:space="preserve">if it does not, the equation is linear and the numerical scheme is redundant.</w:t>
      </w:r>
    </w:p>
    <w:bookmarkEnd w:id="33"/>
    <w:bookmarkStart w:id="34" w:name="learn-v1-1"/>
    <w:p>
      <w:pPr>
        <w:pStyle w:val="Heading3"/>
      </w:pPr>
      <w:r>
        <w:t xml:space="preserve">Learn (v1)</w:t>
      </w:r>
    </w:p>
    <w:p>
      <w:pPr>
        <w:pStyle w:val="FirstParagraph"/>
      </w:pPr>
      <w:r>
        <w:rPr>
          <w:rStyle w:val="VerbatimChar"/>
          <w:b/>
          <w:bCs/>
        </w:rPr>
        <w:t xml:space="preserve">LuxI</w:t>
      </w:r>
      <w:r>
        <w:rPr>
          <w:b/>
          <w:bCs/>
        </w:rPr>
        <w:t xml:space="preserve"> </w:t>
      </w:r>
      <w:r>
        <w:rPr>
          <w:b/>
          <w:bCs/>
        </w:rPr>
        <w:t xml:space="preserve">sits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pPepT</w:t>
      </w:r>
      <w:r>
        <w:rPr>
          <w:b/>
          <w:bCs/>
        </w:rPr>
        <w:t xml:space="preserve">, not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pLux</w:t>
      </w:r>
      <w:r>
        <w:rPr>
          <w:b/>
          <w:bCs/>
        </w:rPr>
        <w:t xml:space="preserve">.</w:t>
      </w:r>
      <w:r>
        <w:t xml:space="preserve"> </w:t>
      </w:r>
      <w:r>
        <w:t xml:space="preserve">There is therefore no AHL</w:t>
      </w:r>
      <w:r>
        <w:t xml:space="preserve"> </w:t>
      </w:r>
      <w:r>
        <w:t xml:space="preserve">autoinduction feedback, so</w:t>
      </w:r>
      <w:r>
        <w:t xml:space="preserve"> </w:t>
      </w:r>
      <m:oMath>
        <m:r>
          <m:t xml:space="preserve">q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 xml:space="preserve">C</m:t>
        </m:r>
      </m:oMath>
      <w:r>
        <w:t xml:space="preserve">, and Eq. (4.4-1) 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— which means</w:t>
      </w:r>
      <w:r>
        <w:t xml:space="preserve"> </w:t>
      </w:r>
      <w:r>
        <w:rPr>
          <w:b/>
          <w:bCs/>
        </w:rPr>
        <w:t xml:space="preserve">superposition is exact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 xml:space="preserve">λ</m:t>
        </m:r>
        <m:r>
          <m:rPr>
            <m:sty m:val="p"/>
          </m:rPr>
          <m:t xml:space="preserve">=</m:t>
        </m:r>
        <m:rad>
          <m:radPr>
            <m:degHide m:val="on"/>
          </m:radPr>
          <m:deg/>
          <m:e>
            <m:r>
              <m:t xml:space="preserve">D</m:t>
            </m:r>
            <m:r>
              <m:rPr>
                <m:sty m:val="p"/>
              </m:rPr>
              <m:t xml:space="preserve">/</m:t>
            </m:r>
            <m:r>
              <m:t xml:space="preserve">δ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 xml:space="preserve">α</m:t>
        </m:r>
        <m:r>
          <m:rPr>
            <m:sty m:val="p"/>
          </m:rPr>
          <m:t xml:space="preserve">=</m:t>
        </m:r>
        <m:r>
          <m:t xml:space="preserve">R</m:t>
        </m:r>
        <m:r>
          <m:rPr>
            <m:sty m:val="p"/>
          </m:rPr>
          <m:t xml:space="preserve">/</m:t>
        </m:r>
        <m:r>
          <m:t xml:space="preserve">λ</m:t>
        </m:r>
      </m:oMath>
      <w:r>
        <w:t xml:space="preserve">, a single spherical source</w:t>
      </w:r>
      <w:r>
        <w:t xml:space="preserve"> </w:t>
      </w:r>
      <w:r>
        <w:t xml:space="preserve">has a closed-form centre value: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 xml:space="preserve">Ψ</m:t>
              </m:r>
            </m:e>
            <m:sub>
              <m:r>
                <m:rPr>
                  <m:nor/>
                  <m:sty m:val="p"/>
                </m:rPr>
                <m:t xml:space="preserve">centre</m:t>
              </m:r>
            </m:sub>
          </m:sSub>
          <m:r>
            <m:rPr>
              <m:sty m:val="p"/>
            </m:rPr>
            <m:t xml:space="preserve">(</m:t>
          </m:r>
          <m:r>
            <m:t xml:space="preserve">R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t xml:space="preserve">1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(</m:t>
          </m:r>
          <m:r>
            <m:t xml:space="preserve">1</m:t>
          </m:r>
          <m:r>
            <m:rPr>
              <m:sty m:val="p"/>
            </m:rPr>
            <m:t xml:space="preserve">+</m:t>
          </m:r>
          <m:r>
            <m:t xml:space="preserve">α</m:t>
          </m:r>
          <m:r>
            <m:rPr>
              <m:sty m:val="p"/>
            </m:rPr>
            <m:t xml:space="preserve">)</m:t>
          </m:r>
          <m:sSup>
            <m:e>
              <m:r>
                <m:t xml:space="preserve">e</m:t>
              </m:r>
            </m:e>
            <m:sup>
              <m:r>
                <m:rPr>
                  <m:sty m:val="p"/>
                </m:rPr>
                <m:t xml:space="preserve">−</m:t>
              </m:r>
              <m:r>
                <m:t xml:space="preserve">α</m:t>
              </m:r>
            </m:sup>
          </m:sSup>
          <m:r>
            <m:rPr>
              <m:nor/>
              <m:sty m:val="p"/>
            </m:rPr>
            <m:t xml:space="preserve">   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4.4</m:t>
          </m:r>
          <m:r>
            <m:rPr>
              <m:nor/>
              <m:sty m:val="p"/>
            </m:rPr>
            <m:t xml:space="preserve">-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)</m:t>
          </m:r>
        </m:oMath>
      </m:oMathPara>
    </w:p>
    <w:p>
      <w:pPr>
        <w:pStyle w:val="FirstParagraph"/>
      </w:pPr>
      <w:r>
        <w:t xml:space="preserve">So summing closed-form single-sphere solutions over an arbitrary 3D arrangement</w:t>
      </w:r>
      <w:r>
        <w:t xml:space="preserve"> </w:t>
      </w:r>
      <w:r>
        <w:t xml:space="preserve">is not an approximation to the finite-difference answer —</w:t>
      </w:r>
      <w:r>
        <w:t xml:space="preserve"> </w:t>
      </w:r>
      <w:r>
        <w:rPr>
          <w:b/>
          <w:bCs/>
        </w:rPr>
        <w:t xml:space="preserve">it is the answer</w:t>
      </w:r>
      <w:r>
        <w:t xml:space="preserve">,</w:t>
      </w:r>
      <w:r>
        <w:t xml:space="preserve"> </w:t>
      </w:r>
      <w:r>
        <w:t xml:space="preserve">and the 2D grid would have been the approximation. Cheaper to compute and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accurate, in one move.</w:t>
      </w:r>
    </w:p>
    <w:bookmarkEnd w:id="34"/>
    <w:bookmarkStart w:id="35" w:name="design-v2-1"/>
    <w:p>
      <w:pPr>
        <w:pStyle w:val="Heading3"/>
      </w:pPr>
      <w:r>
        <w:t xml:space="preserve">Design (v2)</w:t>
      </w:r>
    </w:p>
    <w:p>
      <w:pPr>
        <w:pStyle w:val="FirstParagraph"/>
      </w:pPr>
      <w:r>
        <w:t xml:space="preserve">The v1 Learn removed the reason for the grid, so the v2 design removes the grid.</w:t>
      </w:r>
      <w:r>
        <w:t xml:space="preserve"> </w:t>
      </w:r>
      <w:r>
        <w:t xml:space="preserve">Since</w:t>
      </w:r>
      <w:r>
        <w:t xml:space="preserve"> </w:t>
      </w:r>
      <m:oMath>
        <m:r>
          <m:t xml:space="preserve">q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 xml:space="preserve">C</m:t>
        </m:r>
      </m:oMath>
      <w:r>
        <w:t xml:space="preserve">, superposition is exact, and the design becomes:</w:t>
      </w:r>
      <w:r>
        <w:t xml:space="preserve"> </w:t>
      </w:r>
      <w:r>
        <w:t xml:space="preserve">evaluate the closed-form single-sphere solution at every source and add the</w:t>
      </w:r>
      <w:r>
        <w:t xml:space="preserve"> </w:t>
      </w:r>
      <w:r>
        <w:t xml:space="preserve">contributions over whatever arrangement we want to ask about.</w:t>
      </w:r>
    </w:p>
    <w:bookmarkEnd w:id="35"/>
    <w:bookmarkStart w:id="36" w:name="build-v2-1"/>
    <w:p>
      <w:pPr>
        <w:pStyle w:val="Heading3"/>
      </w:pPr>
      <w:r>
        <w:t xml:space="preserve">Build (v2)</w:t>
      </w:r>
    </w:p>
    <w:p>
      <w:pPr>
        <w:pStyle w:val="FirstParagraph"/>
      </w:pPr>
      <w:r>
        <w:t xml:space="preserve">A few lines over an array of sphere centres — no mesh, no convergence study, no</w:t>
      </w:r>
      <w:r>
        <w:t xml:space="preserve"> </w:t>
      </w:r>
      <w:r>
        <w:t xml:space="preserve">time stepping. That cheapness is itself a result: the v2 model is quick enough</w:t>
      </w:r>
      <w:r>
        <w:t xml:space="preserve"> </w:t>
      </w:r>
      <w:r>
        <w:t xml:space="preserve">to sweep every cluster size and spacing we care about, which the grid would not</w:t>
      </w:r>
      <w:r>
        <w:t xml:space="preserve"> </w:t>
      </w:r>
      <w:r>
        <w:t xml:space="preserve">have been.</w:t>
      </w:r>
    </w:p>
    <w:bookmarkEnd w:id="36"/>
    <w:bookmarkStart w:id="40" w:name="test-v2-1"/>
    <w:p>
      <w:pPr>
        <w:pStyle w:val="Heading3"/>
      </w:pPr>
      <w:r>
        <w:t xml:space="preserve">Test (v2)</w:t>
      </w:r>
    </w:p>
    <w:p>
      <w:pPr>
        <w:pStyle w:val="FirstParagraph"/>
      </w:pPr>
      <w:r>
        <w:t xml:space="preserve">Equivalent isolated radius for clustered 150 µm micro-lesions, against our own</w:t>
      </w:r>
      <w:r>
        <w:t xml:space="preserve"> </w:t>
      </w:r>
      <w:r>
        <w:t xml:space="preserve">150 µm OFF → 1000 µm ON bracket (Fig. 3). Packed touching, at 300 µm</w:t>
      </w:r>
      <w:r>
        <w:t xml:space="preserve"> </w:t>
      </w:r>
      <w:r>
        <w:t xml:space="preserve">spacing, thirteen lesions behave like a single lesion of 333 µm and 125 of them</w:t>
      </w:r>
      <w:r>
        <w:t xml:space="preserve"> </w:t>
      </w:r>
      <w:r>
        <w:t xml:space="preserve">like one of</w:t>
      </w:r>
      <w:r>
        <w:t xml:space="preserve"> </w:t>
      </w:r>
      <w:r>
        <w:rPr>
          <w:b/>
          <w:bCs/>
        </w:rPr>
        <w:t xml:space="preserve">652 µm</w:t>
      </w:r>
      <w:r>
        <w:t xml:space="preserve">. At the realistic 1000 µm spacing the same two clusters</w:t>
      </w:r>
      <w:r>
        <w:t xml:space="preserve"> </w:t>
      </w:r>
      <w:r>
        <w:t xml:space="preserve">fall to 207 µm and 303 µm, and at 2000 µm to 173 µm and 201 µm.</w:t>
      </w:r>
    </w:p>
    <w:p>
      <w:pPr>
        <w:pStyle w:val="BodyText"/>
      </w:pPr>
      <w:r>
        <w:drawing>
          <wp:inline>
            <wp:extent cx="5760720" cy="3456431"/>
            <wp:effectExtent b="0" l="0" r="0" t="0"/>
            <wp:docPr descr="Equivalent isolated radius against cluster size" title="" id="38" name="Picture"/>
            <a:graphic>
              <a:graphicData uri="http://schemas.openxmlformats.org/drawingml/2006/picture">
                <pic:pic>
                  <pic:nvPicPr>
                    <pic:cNvPr descr="outputs/figures/fig4_4_cluste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Svg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3. Equivalent isolated radius of a cluster of 150 µm</w:t>
      </w:r>
      <w:r>
        <w:rPr>
          <w:b/>
          <w:bCs/>
        </w:rPr>
        <w:t xml:space="preserve"> </w:t>
      </w:r>
      <w:r>
        <w:rPr>
          <w:b/>
          <w:bCs/>
        </w:rPr>
        <w:t xml:space="preserve">micro-lesions against the number of lesions in it.</w:t>
      </w:r>
      <w:r>
        <w:t xml:space="preserve"> </w:t>
      </w:r>
      <w:r>
        <w:t xml:space="preserve">Clusters of 1 to 512 lesions</w:t>
      </w:r>
      <w:r>
        <w:t xml:space="preserve"> </w:t>
      </w:r>
      <w:r>
        <w:t xml:space="preserve">are arranged on a cubic lattice at three centre-to-centre spacings, one series</w:t>
      </w:r>
      <w:r>
        <w:t xml:space="preserve"> </w:t>
      </w:r>
      <w:r>
        <w:t xml:space="preserve">each; the horizontal axis is logarithmic. The two dashed lines are the 150 µm OFF</w:t>
      </w:r>
      <w:r>
        <w:t xml:space="preserve"> </w:t>
      </w:r>
      <w:r>
        <w:t xml:space="preserve">and 1000 µm ON equivalent radii of the single-lesion calibration, and the shaded</w:t>
      </w:r>
      <w:r>
        <w:t xml:space="preserve"> </w:t>
      </w:r>
      <w:r>
        <w:t xml:space="preserve">band above the upper one is labelled "ON band". The annotation records that the</w:t>
      </w:r>
      <w:r>
        <w:t xml:space="preserve"> </w:t>
      </w:r>
      <w:r>
        <w:t xml:space="preserve">512-lesion touching cluster is a 2.4 mm contiguous mass.</w:t>
      </w:r>
    </w:p>
    <w:bookmarkEnd w:id="40"/>
    <w:bookmarkStart w:id="41" w:name="learn-v2-1"/>
    <w:p>
      <w:pPr>
        <w:pStyle w:val="Heading3"/>
      </w:pPr>
      <w:r>
        <w:t xml:space="preserve">Learn (v2)</w:t>
      </w:r>
    </w:p>
    <w:p>
      <w:pPr>
        <w:pStyle w:val="FirstParagraph"/>
      </w:pPr>
      <w:r>
        <w:rPr>
          <w:b/>
          <w:bCs/>
        </w:rPr>
        <w:t xml:space="preserve">No cluster reaches 1000 µm.</w:t>
      </w:r>
      <w:r>
        <w:t xml:space="preserve"> </w:t>
      </w:r>
      <w:r>
        <w:t xml:space="preserve">Reaching it would take 512 touching lesions — a</w:t>
      </w:r>
      <w:r>
        <w:t xml:space="preserve"> </w:t>
      </w:r>
      <w:r>
        <w:t xml:space="preserve">continuous 2.4 mm mass, which is no longer a micrometastasis.</w:t>
      </w:r>
    </w:p>
    <w:p>
      <w:pPr>
        <w:pStyle w:val="BodyText"/>
      </w:pPr>
      <w:r>
        <w:rPr>
          <w:b/>
          <w:bCs/>
        </w:rPr>
        <w:t xml:space="preserve">Dispersal is always worse than aggregation, and the closed form says why.</w:t>
      </w:r>
      <w:r>
        <w:t xml:space="preserve"> </w:t>
      </w:r>
      <w:r>
        <w:t xml:space="preserve">In</w:t>
      </w:r>
      <w:r>
        <w:t xml:space="preserve"> </w:t>
      </w:r>
      <w:r>
        <w:t xml:space="preserve">the small-</w:t>
      </w:r>
      <m:oMath>
        <m:r>
          <m:t xml:space="preserve">α</m:t>
        </m:r>
      </m:oMath>
      <w:r>
        <w:t xml:space="preserve"> </w:t>
      </w:r>
      <w:r>
        <w:t xml:space="preserve">limit the two contributions scale differently:</w:t>
      </w:r>
    </w:p>
    <w:p>
      <w:pPr>
        <w:pStyle w:val="BodyText"/>
      </w:pPr>
      <m:oMathPara>
        <m:oMathParaPr>
          <m:jc m:val="center"/>
        </m:oMathParaPr>
        <m:oMath>
          <m:limUp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 xml:space="preserve">Ψ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 xml:space="preserve">centre</m:t>
                      </m:r>
                    </m:sub>
                  </m:sSub>
                  <m:r>
                    <m:rPr>
                      <m:sty m:val="p"/>
                    </m:rPr>
                    <m:t xml:space="preserve">∼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 xml:space="preserve">α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num>
                    <m:den>
                      <m:r>
                        <m:t xml:space="preserve">2</m:t>
                      </m:r>
                    </m:den>
                  </m:f>
                </m:e>
              </m:d>
            </m:e>
            <m:lim>
              <m:r>
                <m:rPr>
                  <m:nor/>
                  <m:sty m:val="p"/>
                </m:rPr>
                <m:t xml:space="preserve">own</m:t>
              </m:r>
              <m:r>
                <m:rPr>
                  <m:sty m:val="p"/>
                </m:rPr>
                <m:t xml:space="preserve">,</m:t>
              </m:r>
              <m:r>
                <m:t xml:space="preserve"> </m:t>
              </m:r>
              <m:r>
                <m:rPr>
                  <m:sty m:val="p"/>
                </m:rPr>
                <m:t xml:space="preserve">∝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</m:lim>
          </m:limUpp>
          <m:r>
            <m:t xml:space="preserve">  </m:t>
          </m:r>
          <m:r>
            <m:rPr>
              <m:nor/>
              <m:sty m:val="p"/>
            </m:rPr>
            <m:t xml:space="preserve">vs</m:t>
          </m:r>
          <m:r>
            <m:t xml:space="preserve">  </m:t>
          </m:r>
          <m:limUp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 xml:space="preserve">Ψ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 xml:space="preserve">out</m:t>
                      </m:r>
                    </m:sub>
                  </m:sSub>
                  <m:r>
                    <m:rPr>
                      <m:sty m:val="p"/>
                    </m:rPr>
                    <m:t xml:space="preserve">∼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 xml:space="preserve">R</m:t>
                          </m:r>
                        </m:e>
                        <m:sup>
                          <m:r>
                            <m:t xml:space="preserve">3</m:t>
                          </m:r>
                        </m:sup>
                      </m:sSup>
                    </m:num>
                    <m:den>
                      <m:r>
                        <m:t xml:space="preserve">3</m:t>
                      </m:r>
                      <m:sSup>
                        <m:e>
                          <m:r>
                            <m:t xml:space="preserve">λ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d</m:t>
                      </m:r>
                    </m:den>
                  </m:f>
                </m:e>
              </m:d>
            </m:e>
            <m:lim>
              <m:r>
                <m:rPr>
                  <m:nor/>
                  <m:sty m:val="p"/>
                </m:rPr>
                <m:t xml:space="preserve">neighbour</m:t>
              </m:r>
              <m:r>
                <m:rPr>
                  <m:sty m:val="p"/>
                </m:rPr>
                <m:t xml:space="preserve">,</m:t>
              </m:r>
              <m:r>
                <m:t xml:space="preserve"> </m:t>
              </m:r>
              <m:r>
                <m:rPr>
                  <m:sty m:val="p"/>
                </m:rPr>
                <m:t xml:space="preserve">∝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3</m:t>
                  </m:r>
                </m:sup>
              </m:sSup>
              <m:r>
                <m:rPr>
                  <m:sty m:val="p"/>
                </m:rPr>
                <m:t xml:space="preserve">/</m:t>
              </m:r>
              <m:r>
                <m:t xml:space="preserve">d</m:t>
              </m:r>
            </m:lim>
          </m:limUpp>
          <m:r>
            <m:rPr>
              <m:nor/>
              <m:sty m:val="p"/>
            </m:rPr>
            <m:t xml:space="preserve">   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4.4</m:t>
          </m:r>
          <m:r>
            <m:rPr>
              <m:nor/>
              <m:sty m:val="p"/>
            </m:rPr>
            <m:t xml:space="preserve">-</m:t>
          </m:r>
          <m:r>
            <m:rPr>
              <m:sty m:val="p"/>
            </m:rPr>
            <m:t xml:space="preserve">8</m:t>
          </m:r>
          <m:r>
            <m:rPr>
              <m:sty m:val="p"/>
            </m:rPr>
            <m:t xml:space="preserve">)</m:t>
          </m:r>
        </m:oMath>
      </m:oMathPara>
    </w:p>
    <w:p>
      <w:pPr>
        <w:pStyle w:val="FirstParagraph"/>
      </w:pPr>
      <w:r>
        <w:t xml:space="preserve">Split a volume into smaller pieces and the self term falls faster than the</w:t>
      </w:r>
      <w:r>
        <w:t xml:space="preserve"> </w:t>
      </w:r>
      <w:r>
        <w:t xml:space="preserve">neighbour term compensates — 0.84–0.95× equivalent-over-equal-volume. A</w:t>
      </w:r>
      <w:r>
        <w:t xml:space="preserve"> </w:t>
      </w:r>
      <w:r>
        <w:t xml:space="preserve">numerical grid would have produced this number without producing the reason.</w:t>
      </w:r>
    </w:p>
    <w:p>
      <w:pPr>
        <w:pStyle w:val="BodyText"/>
      </w:pPr>
      <w:r>
        <w:rPr>
          <w:b/>
          <w:bCs/>
        </w:rPr>
        <w:t xml:space="preserve">The quorum module is a colonised-volume integrator, not a bistable switch.</w:t>
      </w:r>
      <w:r>
        <w:t xml:space="preserve"> </w:t>
      </w:r>
      <w:r>
        <w:t xml:space="preserve">Because there is no autoinduction there is no hysteresis and no switch-like</w:t>
      </w:r>
      <w:r>
        <w:t xml:space="preserve"> </w:t>
      </w:r>
      <w:r>
        <w:t xml:space="preserve">transition, only a graded response. Every informal description of the circuit we</w:t>
      </w:r>
      <w:r>
        <w:t xml:space="preserve"> </w:t>
      </w:r>
      <w:r>
        <w:t xml:space="preserve">had used the word "switch".</w:t>
      </w:r>
    </w:p>
    <w:p>
      <w:pPr>
        <w:pStyle w:val="BodyText"/>
      </w:pPr>
      <w:r>
        <w:rPr>
          <w:b/>
          <w:bCs/>
        </w:rPr>
        <w:t xml:space="preserve">This redirected the project.</w:t>
      </w:r>
      <w:r>
        <w:t xml:space="preserve"> </w:t>
      </w:r>
      <w:r>
        <w:t xml:space="preserve">On safety, the 178 µm floor survives extension</w:t>
      </w:r>
      <w:r>
        <w:t xml:space="preserve"> </w:t>
      </w:r>
      <w:r>
        <w:t xml:space="preserve">to many lesions and gets harder. On efficacy,</w:t>
      </w:r>
      <w:r>
        <w:t xml:space="preserve"> </w:t>
      </w:r>
      <w:r>
        <w:rPr>
          <w:b/>
          <w:bCs/>
        </w:rPr>
        <w:t xml:space="preserve">this circuit cannot clear true</w:t>
      </w:r>
      <w:r>
        <w:rPr>
          <w:b/>
          <w:bCs/>
        </w:rPr>
        <w:t xml:space="preserve"> </w:t>
      </w:r>
      <w:r>
        <w:rPr>
          <w:b/>
          <w:bCs/>
        </w:rPr>
        <w:t xml:space="preserve">micrometastases</w:t>
      </w:r>
      <w:r>
        <w:t xml:space="preserve"> </w:t>
      </w:r>
      <w:r>
        <w:t xml:space="preserve">— distal killing can only come from the immune cascade, which</w:t>
      </w:r>
      <w:r>
        <w:t xml:space="preserve"> </w:t>
      </w:r>
      <w:r>
        <w:t xml:space="preserve">is why our immune module is not optional decoration but the only mechanism that</w:t>
      </w:r>
      <w:r>
        <w:t xml:space="preserve"> </w:t>
      </w:r>
      <w:r>
        <w:t xml:space="preserve">addresses disseminated disease.</w:t>
      </w:r>
    </w:p>
    <w:bookmarkEnd w:id="41"/>
    <w:bookmarkStart w:id="42" w:name="next-iteration-2"/>
    <w:p>
      <w:pPr>
        <w:pStyle w:val="Heading3"/>
      </w:pPr>
      <w:r>
        <w:t xml:space="preserve">Next iteration</w:t>
      </w:r>
    </w:p>
    <w:p>
      <w:pPr>
        <w:pStyle w:val="FirstParagraph"/>
      </w:pPr>
      <w:r>
        <w:t xml:space="preserve">Superposition assumes identical spherical sources, and real lesion size</w:t>
      </w:r>
      <w:r>
        <w:t xml:space="preserve"> </w:t>
      </w:r>
      <w:r>
        <w:t xml:space="preserve">distributions are broad. A v3 would carry a size distribution rather than a</w:t>
      </w:r>
      <w:r>
        <w:t xml:space="preserve"> </w:t>
      </w:r>
      <w:r>
        <w:t xml:space="preserve">single radius. The conclusion is robust to this — dispersal already loses by</w:t>
      </w:r>
      <w:r>
        <w:t xml:space="preserve"> </w:t>
      </w:r>
      <w:r>
        <w:t xml:space="preserve">Eq. (4.4-8) — so we did not prioritise it.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X18249302615663a5d5902fced78029a578f2d70"/>
    <w:p>
      <w:pPr>
        <w:pStyle w:val="Heading2"/>
      </w:pPr>
      <w:r>
        <w:t xml:space="preserve">Cycle 4 — The dose model: changing the question</w:t>
      </w:r>
    </w:p>
    <w:bookmarkStart w:id="44" w:name="design-1"/>
    <w:p>
      <w:pPr>
        <w:pStyle w:val="Heading3"/>
      </w:pPr>
      <w:r>
        <w:t xml:space="preserve">Design</w:t>
      </w:r>
    </w:p>
    <w:p>
      <w:pPr>
        <w:pStyle w:val="FirstParagraph"/>
      </w:pPr>
      <w:r>
        <w:t xml:space="preserve">Dose had only ever been asked as a</w:t>
      </w:r>
      <w:r>
        <w:t xml:space="preserve"> </w:t>
      </w:r>
      <w:r>
        <w:rPr>
          <w:b/>
          <w:bCs/>
        </w:rPr>
        <w:t xml:space="preserve">potency comparison</w:t>
      </w:r>
      <w:r>
        <w:t xml:space="preserve"> </w:t>
      </w:r>
      <w:r>
        <w:t xml:space="preserve">— which construct</w:t>
      </w:r>
      <w:r>
        <w:t xml:space="preserve"> </w:t>
      </w:r>
      <w:r>
        <w:t xml:space="preserve">kills more. That is not an engineering specification. We reframed it: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fraction of a lesion must be cleared per day for the lesion not to grow</w:t>
      </w:r>
      <w:r>
        <w:t xml:space="preserve">, and</w:t>
      </w:r>
      <w:r>
        <w:t xml:space="preserve"> </w:t>
      </w:r>
      <w:r>
        <w:t xml:space="preserve">what dose delivers that?</w:t>
      </w:r>
    </w:p>
    <w:bookmarkEnd w:id="44"/>
    <w:bookmarkStart w:id="45" w:name="build-1"/>
    <w:p>
      <w:pPr>
        <w:pStyle w:val="Heading3"/>
      </w:pPr>
      <w:r>
        <w:t xml:space="preserve">Build</w:t>
      </w:r>
    </w:p>
    <w:p>
      <w:pPr>
        <w:pStyle w:val="FirstParagraph"/>
      </w:pPr>
      <w:r>
        <w:t xml:space="preserve">A closed-form criterion that assumes</w:t>
      </w:r>
      <w:r>
        <w:t xml:space="preserve"> </w:t>
      </w:r>
      <w:r>
        <w:rPr>
          <w:b/>
          <w:bCs/>
        </w:rPr>
        <w:t xml:space="preserve">no dose–response shape</w:t>
      </w:r>
      <w:r>
        <w:t xml:space="preserve"> </w:t>
      </w:r>
      <w:r>
        <w:t xml:space="preserve">— it follows</w:t>
      </w:r>
      <w:r>
        <w:t xml:space="preserve"> </w:t>
      </w:r>
      <w:r>
        <w:t xml:space="preserve">from the doubling time alone:</w:t>
      </w:r>
    </w:p>
    <w:p>
      <w:pPr>
        <w:pStyle w:val="BodyText"/>
      </w:pPr>
      <m:oMathPara>
        <m:oMathParaPr>
          <m:jc m:val="center"/>
        </m:oMathParaPr>
        <m:oMath>
          <m:r>
            <m:t xml:space="preserve">f</m:t>
          </m:r>
          <m:r>
            <m:t xml:space="preserve"> </m:t>
          </m:r>
          <m:r>
            <m:rPr>
              <m:sty m:val="p"/>
            </m:rPr>
            <m:t xml:space="preserve">=</m:t>
          </m:r>
          <m:r>
            <m:t xml:space="preserve"> </m:t>
          </m:r>
          <m:r>
            <m:t xml:space="preserve">1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exp</m:t>
          </m:r>
          <m:r>
            <m:t xml:space="preserve"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 xml:space="preserve"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 xml:space="preserve">ln</m:t>
                  </m:r>
                  <m:r>
                    <m:t xml:space="preserve">2</m:t>
                  </m:r>
                  <m:r>
                    <m:rPr>
                      <m:sty m:val="p"/>
                    </m:rPr>
                    <m:t xml:space="preserve">⋅</m:t>
                  </m:r>
                  <m:r>
                    <m:t xml:space="preserve">24</m:t>
                  </m:r>
                </m:num>
                <m:den>
                  <m:sSub>
                    <m:e>
                      <m:r>
                        <m:t xml:space="preserve"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 xml:space="preserve">doubling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plus a power-law fit to the measured dose series with the</w:t>
      </w:r>
      <w:r>
        <w:t xml:space="preserve"> </w:t>
      </w:r>
      <w:r>
        <w:rPr>
          <w:b/>
          <w:bCs/>
        </w:rPr>
        <w:t xml:space="preserve">plasmid control</w:t>
      </w:r>
      <w:r>
        <w:rPr>
          <w:b/>
          <w:bCs/>
        </w:rPr>
        <w:t xml:space="preserve"> </w:t>
      </w:r>
      <w:r>
        <w:rPr>
          <w:b/>
          <w:bCs/>
        </w:rPr>
        <w:t xml:space="preserve">subtracted</w:t>
      </w:r>
      <w:r>
        <w:t xml:space="preserve"> </w:t>
      </w:r>
      <w:r>
        <w:t xml:space="preserve">(at the top dose the chassis accounts for 27 % of the raw reading).</w:t>
      </w:r>
    </w:p>
    <w:bookmarkEnd w:id="45"/>
    <w:bookmarkStart w:id="49" w:name="test-1"/>
    <w:p>
      <w:pPr>
        <w:pStyle w:val="Heading3"/>
      </w:pPr>
      <w:r>
        <w:t xml:space="preserve">Test</w:t>
      </w:r>
    </w:p>
    <w:p>
      <w:pPr>
        <w:pStyle w:val="FirstParagraph"/>
      </w:pPr>
      <w:r>
        <w:t xml:space="preserve">Leave-one-out, against the same pre-declared criteria as Cycle 1. All</w:t>
      </w:r>
      <w:r>
        <w:t xml:space="preserve"> </w:t>
      </w:r>
      <w:r>
        <w:rPr>
          <w:b/>
          <w:bCs/>
        </w:rPr>
        <w:t xml:space="preserve">six</w:t>
      </w:r>
      <w:r>
        <w:t xml:space="preserve"> </w:t>
      </w:r>
      <w:r>
        <w:t xml:space="preserve">held-out doses passed, the worst at 0.835×. Separately, all</w:t>
      </w:r>
      <w: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24 h</w:t>
      </w:r>
      <w:r>
        <w:t xml:space="preserve"> </w:t>
      </w:r>
      <w:r>
        <w:t xml:space="preserve">capacity values forecast from the first 12 hours passed, running 0–8 % high with</w:t>
      </w:r>
      <w:r>
        <w:t xml:space="preserve"> </w:t>
      </w:r>
      <w:r>
        <w:t xml:space="preserve">a mean bias of 1.0500.</w:t>
      </w:r>
    </w:p>
    <w:p>
      <w:pPr>
        <w:pStyle w:val="BodyText"/>
      </w:pPr>
      <w:r>
        <w:t xml:space="preserve">With Cycle 1's corners, that is</w:t>
      </w:r>
      <w:r>
        <w:t xml:space="preserve"> </w:t>
      </w:r>
      <w:r>
        <w:rPr>
          <w:b/>
          <w:bCs/>
        </w:rPr>
        <w:t xml:space="preserve">28 held-out predictions</w:t>
      </w:r>
      <w:r>
        <w:t xml:space="preserve"> </w:t>
      </w:r>
      <w:r>
        <w:t xml:space="preserve">in total.</w:t>
      </w:r>
    </w:p>
    <w:p>
      <w:pPr>
        <w:pStyle w:val="BodyText"/>
      </w:pPr>
      <w:r>
        <w:drawing>
          <wp:inline>
            <wp:extent cx="5760720" cy="2234762"/>
            <wp:effectExtent b="0" l="0" r="0" t="0"/>
            <wp:docPr descr="Dose–kill relation and the escalation needed for smaller lesions" title="" id="47" name="Picture"/>
            <a:graphic>
              <a:graphicData uri="http://schemas.openxmlformats.org/drawingml/2006/picture">
                <pic:pic>
                  <pic:nvPicPr>
                    <pic:cNvPr descr="outputs/figures/fig4_6_dose_requiremen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Svg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3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4. Dose–kill relation, and the escalation and remaining margin</w:t>
      </w:r>
      <w:r>
        <w:rPr>
          <w:b/>
          <w:bCs/>
        </w:rPr>
        <w:t xml:space="preserve"> </w:t>
      </w:r>
      <w:r>
        <w:rPr>
          <w:b/>
          <w:bCs/>
        </w:rPr>
        <w:t xml:space="preserve">against lesion radius.</w:t>
      </w:r>
      <w:r>
        <w:t xml:space="preserve"> </w:t>
      </w:r>
      <w:r>
        <w:t xml:space="preserve">Left: net CT26 killing over 24 h against co-culture</w:t>
      </w:r>
      <w:r>
        <w:t xml:space="preserve"> </w:t>
      </w:r>
      <w:r>
        <w:t xml:space="preserve">dose, logarithmic axes. Points are measurements net of the GFP control with</w:t>
      </w:r>
      <w:r>
        <w:t xml:space="preserve"> </w:t>
      </w:r>
      <w:r>
        <w:t xml:space="preserve">standard-error bars, the shaded band the doses tested, the line a power-law fit</w:t>
      </w:r>
      <w:r>
        <w:t xml:space="preserve"> </w:t>
      </w:r>
      <w:r>
        <w:t xml:space="preserve">of exponent 2.65, and the horizontal bands the target effect sizes, 0.12–0.69 %</w:t>
      </w:r>
      <w:r>
        <w:t xml:space="preserve"> </w:t>
      </w:r>
      <w:r>
        <w:t xml:space="preserve">(human) and 29.3–50 % (CT26). Right: fold change against lesion radius,</w:t>
      </w:r>
      <w:r>
        <w:t xml:space="preserve"> </w:t>
      </w:r>
      <w:r>
        <w:t xml:space="preserve">logarithmic — circles the escalation that radius needs, squares the</w:t>
      </w:r>
      <w:r>
        <w:t xml:space="preserve"> </w:t>
      </w:r>
      <w:r>
        <w:t xml:space="preserve">colonic-mucosa margin left, priced on 21.85-fold. The dashed line at 10 is the</w:t>
      </w:r>
      <w:r>
        <w:t xml:space="preserve"> </w:t>
      </w:r>
      <w:r>
        <w:t xml:space="preserve">required margin, that at 1 none left, the dotted vertical at 178 µm the smallest</w:t>
      </w:r>
      <w:r>
        <w:t xml:space="preserve"> </w:t>
      </w:r>
      <w:r>
        <w:t xml:space="preserve">radius with a hypoxic core; the circled 150 µm point reads 4.95-fold dose,</w:t>
      </w:r>
      <w:r>
        <w:t xml:space="preserve"> </w:t>
      </w:r>
      <w:r>
        <w:t xml:space="preserve">4.41-fold margin left.</w:t>
      </w:r>
    </w:p>
    <w:bookmarkEnd w:id="49"/>
    <w:bookmarkStart w:id="50" w:name="learn-1"/>
    <w:p>
      <w:pPr>
        <w:pStyle w:val="Heading3"/>
      </w:pPr>
      <w:r>
        <w:t xml:space="preserve">Learn</w:t>
      </w:r>
    </w:p>
    <w:p>
      <w:pPr>
        <w:pStyle w:val="FirstParagraph"/>
      </w:pPr>
      <w:r>
        <w:t xml:space="preserve">Killing follows a near-cubic dose law (Fig. 4): killing ∝ dose^b, with</w:t>
      </w:r>
      <w:r>
        <w:t xml:space="preserve"> </w:t>
      </w:r>
      <w:r>
        <w:t xml:space="preserve">b = 2.65–3.38 and r² &gt; 0.995.</w:t>
      </w:r>
    </w:p>
    <w:p>
      <w:pPr>
        <w:pStyle w:val="BodyText"/>
      </w:pPr>
      <w:r>
        <w:t xml:space="preserve">A CT26 lesion, doubling every 24–48 h, has to lose 29–50 % of itself a day,</w:t>
      </w:r>
      <w:r>
        <w:t xml:space="preserve"> </w:t>
      </w:r>
      <w:r>
        <w:t xml:space="preserve">which on that relation costs</w:t>
      </w:r>
      <w:r>
        <w:t xml:space="preserve"> </w:t>
      </w:r>
      <w:r>
        <w:rPr>
          <w:b/>
          <w:bCs/>
        </w:rPr>
        <w:t xml:space="preserve">1.30–1.76×</w:t>
      </w:r>
      <w:r>
        <w:t xml:space="preserve"> </w:t>
      </w:r>
      <w:r>
        <w:t xml:space="preserve">the highest dose we tested — more</w:t>
      </w:r>
      <w:r>
        <w:t xml:space="preserve"> </w:t>
      </w:r>
      <w:r>
        <w:t xml:space="preserve">than we have. Human colorectal cancer doubles in 100–600 days and needs only</w:t>
      </w:r>
      <w:r>
        <w:t xml:space="preserve"> </w:t>
      </w:r>
      <w:r>
        <w:rPr>
          <w:b/>
          <w:bCs/>
        </w:rPr>
        <w:t xml:space="preserve">0.12–0.69 %</w:t>
      </w:r>
      <w:r>
        <w:t xml:space="preserve">, which costs</w:t>
      </w:r>
      <w:r>
        <w:t xml:space="preserve"> </w:t>
      </w:r>
      <w:r>
        <w:rPr>
          <w:b/>
          <w:bCs/>
        </w:rPr>
        <w:t xml:space="preserve">0.18–0.43×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already met below the lowest</w:t>
      </w:r>
      <w:r>
        <w:rPr>
          <w:b/>
          <w:bCs/>
        </w:rPr>
        <w:t xml:space="preserve"> </w:t>
      </w:r>
      <w:r>
        <w:rPr>
          <w:b/>
          <w:bCs/>
        </w:rPr>
        <w:t xml:space="preserve">dose tested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human half does not depend on the fit at all.</w:t>
      </w:r>
      <w:r>
        <w:t xml:space="preserve"> </w:t>
      </w:r>
      <w:r>
        <w:t xml:space="preserve">Measured net killing at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lowest</w:t>
      </w:r>
      <w:r>
        <w:t xml:space="preserve"> </w:t>
      </w:r>
      <w:r>
        <w:t xml:space="preserve">dose is 2.97 % against a requirement of 0.69 % — a direct</w:t>
      </w:r>
      <w:r>
        <w:t xml:space="preserve"> </w:t>
      </w:r>
      <w:r>
        <w:t xml:space="preserve">comparison, exceeding it 4.3×. All three measured doses satisfy the clinical</w:t>
      </w:r>
      <w:r>
        <w:t xml:space="preserve"> </w:t>
      </w:r>
      <w:r>
        <w:t xml:space="preserve">indication. CT26 doubles two orders of magnitude faster than human CRC, so</w:t>
      </w:r>
      <w:r>
        <w:t xml:space="preserve"> </w:t>
      </w:r>
      <w:r>
        <w:t xml:space="preserve">"insufficient in mice" does not imply insufficient in humans; it means the mouse</w:t>
      </w:r>
      <w:r>
        <w:t xml:space="preserve"> </w:t>
      </w:r>
      <w:r>
        <w:t xml:space="preserve">is the harder target.</w:t>
      </w:r>
    </w:p>
    <w:p>
      <w:pPr>
        <w:pStyle w:val="BodyText"/>
      </w:pPr>
      <w:r>
        <w:rPr>
          <w:b/>
          <w:bCs/>
        </w:rPr>
        <w:t xml:space="preserve">The cubic law takes the cube root of every unknown.</w:t>
      </w:r>
      <w:r>
        <w:t xml:space="preserve"> </w:t>
      </w:r>
      <w:r>
        <w:t xml:space="preserve">A 600-fold spread in</w:t>
      </w:r>
      <w:r>
        <w:t xml:space="preserve"> </w:t>
      </w:r>
      <w:r>
        <w:t xml:space="preserve">doubling time becomes a 9.9-fold spread in required dose, and the 3.7-fold</w:t>
      </w:r>
      <w:r>
        <w:t xml:space="preserve"> </w:t>
      </w:r>
      <w:r>
        <w:t xml:space="preserve">delivery loss from spatial coverage needs only 1.64-fold dose compensation. This</w:t>
      </w:r>
      <w:r>
        <w:t xml:space="preserve"> </w:t>
      </w:r>
      <w:r>
        <w:t xml:space="preserve">back-calculation is</w:t>
      </w:r>
      <w:r>
        <w:t xml:space="preserve"> </w:t>
      </w:r>
      <w:r>
        <w:rPr>
          <w:b/>
          <w:bCs/>
        </w:rPr>
        <w:t xml:space="preserve">least</w:t>
      </w:r>
      <w:r>
        <w:t xml:space="preserve"> </w:t>
      </w:r>
      <w:r>
        <w:t xml:space="preserve">sensitive to its most uncertain parameter, which is</w:t>
      </w:r>
      <w:r>
        <w:t xml:space="preserve"> </w:t>
      </w:r>
      <w:r>
        <w:t xml:space="preserve">the opposite of the usual situation.</w:t>
      </w:r>
    </w:p>
    <w:bookmarkEnd w:id="50"/>
    <w:bookmarkStart w:id="51" w:name="next-iteration-3"/>
    <w:p>
      <w:pPr>
        <w:pStyle w:val="Heading3"/>
      </w:pPr>
      <w:r>
        <w:t xml:space="preserve">Next iteration</w:t>
      </w:r>
    </w:p>
    <w:p>
      <w:pPr>
        <w:pStyle w:val="FirstParagraph"/>
      </w:pPr>
      <w:r>
        <w:t xml:space="preserve">The criterion treats a lesion as well-mixed. Coupling it to Cycle 3's spatial</w:t>
      </w:r>
      <w:r>
        <w:t xml:space="preserve"> </w:t>
      </w:r>
      <w:r>
        <w:t xml:space="preserve">result is the obvious v2: at 150 µm the required escalation is 4.95×, which</w:t>
      </w:r>
      <w:r>
        <w:t xml:space="preserve"> </w:t>
      </w:r>
      <w:r>
        <w:t xml:space="preserve">leaves only 4.41× of the mucosal margin — so dose and safety stop being</w:t>
      </w:r>
      <w:r>
        <w:t xml:space="preserve"> </w:t>
      </w:r>
      <w:r>
        <w:t xml:space="preserve">independent. That coupling is stated but not yet modelled jointly.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Xbf6afe040661e7dc2162deb7eccd3757334b4d4"/>
    <w:p>
      <w:pPr>
        <w:pStyle w:val="Heading2"/>
      </w:pPr>
      <w:r>
        <w:t xml:space="preserve">Cycle 5 — Open: anoxia vs. hypoxia at the lactate sensor</w:t>
      </w:r>
    </w:p>
    <w:p>
      <w:pPr>
        <w:pStyle w:val="FirstParagraph"/>
      </w:pPr>
      <w:r>
        <w:t xml:space="preserve">We report this one unfinished, because the alternative is to overstate Cycle 2.</w:t>
      </w:r>
    </w:p>
    <w:bookmarkStart w:id="53" w:name="design-2"/>
    <w:p>
      <w:pPr>
        <w:pStyle w:val="Heading3"/>
      </w:pPr>
      <w:r>
        <w:t xml:space="preserve">Design</w:t>
      </w:r>
    </w:p>
    <w:p>
      <w:pPr>
        <w:pStyle w:val="FirstParagraph"/>
      </w:pPr>
      <w:r>
        <w:t xml:space="preserve">Cycle 2's safety conclusion rests on the</w:t>
      </w:r>
      <w:r>
        <w:t xml:space="preserve"> </w:t>
      </w:r>
      <m:oMath>
        <m:sSub>
          <m:e>
            <m:r>
              <m:t xml:space="preserve">ρ</m:t>
            </m:r>
          </m:e>
          <m:sub>
            <m:r>
              <m:rPr>
                <m:nor/>
                <m:sty m:val="p"/>
              </m:rPr>
              <m:t xml:space="preserve">anox</m:t>
            </m:r>
          </m:sub>
        </m:sSub>
      </m:oMath>
      <w:r>
        <w:t xml:space="preserve"> </w:t>
      </w:r>
      <w:r>
        <w:t xml:space="preserve">term of</w:t>
      </w:r>
      <w:r>
        <w:t xml:space="preserve"> </w:t>
      </w:r>
      <w:r>
        <w:t xml:space="preserve">Eq. (3.1-4): that native</w:t>
      </w:r>
      <w:r>
        <w:t xml:space="preserve"> </w:t>
      </w:r>
      <w:r>
        <w:rPr>
          <w:rStyle w:val="VerbatimChar"/>
        </w:rPr>
        <w:t xml:space="preserve">lldPRD</w:t>
      </w:r>
      <w:r>
        <w:t xml:space="preserve"> </w:t>
      </w:r>
      <w:r>
        <w:t xml:space="preserve">anaerobic repression is</w:t>
      </w:r>
      <w:r>
        <w:t xml:space="preserve"> </w:t>
      </w:r>
      <w:r>
        <w:rPr>
          <w:b/>
          <w:bCs/>
        </w:rPr>
        <w:t xml:space="preserve">engaged at 0 % O₂</w:t>
      </w:r>
      <w:r>
        <w:t xml:space="preserve"> </w:t>
      </w:r>
      <w:r>
        <w:t xml:space="preserve">(gut lumen) and</w:t>
      </w:r>
      <w:r>
        <w:t xml:space="preserve"> </w:t>
      </w:r>
      <w:r>
        <w:rPr>
          <w:b/>
          <w:bCs/>
        </w:rPr>
        <w:t xml:space="preserve">released at ~1 % O₂</w:t>
      </w:r>
      <w:r>
        <w:t xml:space="preserve"> </w:t>
      </w:r>
      <w:r>
        <w:t xml:space="preserve">(tumour core). This is the single</w:t>
      </w:r>
      <w:r>
        <w:t xml:space="preserve"> </w:t>
      </w:r>
      <w:r>
        <w:t xml:space="preserve">structural assumption in the project, and it is not in the same class as our</w:t>
      </w:r>
      <w:r>
        <w:t xml:space="preserve"> </w:t>
      </w:r>
      <w:r>
        <w:t xml:space="preserve">other open parameters:</w:t>
      </w:r>
    </w:p>
    <w:p>
      <w:pPr>
        <w:pStyle w:val="BlockText"/>
      </w:pPr>
      <w:r>
        <w:t xml:space="preserve">Every other unmeasured parameter only widens an interval.</w:t>
      </w:r>
      <w:r>
        <w:t xml:space="preserve"> </w:t>
      </w:r>
      <w:r>
        <w:rPr>
          <w:b/>
          <w:bCs/>
        </w:rPr>
        <w:t xml:space="preserve">This one changes a sign.</w:t>
      </w:r>
    </w:p>
    <w:p>
      <w:pPr>
        <w:pStyle w:val="FirstParagraph"/>
      </w:pPr>
      <w:r>
        <w:t xml:space="preserve">On the full-gate measure, with repression the three luminal sites score 23–60×;</w:t>
      </w:r>
      <w:r>
        <w:t xml:space="preserve"> </w:t>
      </w:r>
      <w:r>
        <w:t xml:space="preserve">without it,</w:t>
      </w:r>
      <w:r>
        <w:t xml:space="preserve"> </w:t>
      </w:r>
      <w:r>
        <w:rPr>
          <w:b/>
          <w:bCs/>
        </w:rPr>
        <w:t xml:space="preserve">0.23–0.60×</w:t>
      </w:r>
      <w:r>
        <w:t xml:space="preserve"> </w:t>
      </w:r>
      <w:r>
        <w:t xml:space="preserve">— which also flips which element is the bottleneck,</w:t>
      </w:r>
      <w:r>
        <w:t xml:space="preserve"> </w:t>
      </w:r>
      <w:r>
        <w:t xml:space="preserve">and flips Cycle 2's "do not swap the promoter" recommendation.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measured half:</w:t>
      </w:r>
      <w:r>
        <w:t xml:space="preserve"> </w:t>
      </w:r>
      <w:r>
        <w:t xml:space="preserve">1 % O₂ + lactate is the highest of the four corners</w:t>
      </w:r>
      <w:r>
        <w:t xml:space="preserve"> </w:t>
      </w:r>
      <w:r>
        <w:t xml:space="preserve">(98.1 %, Fig. 1), so the sensor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repressed at 1 %, which is what</w:t>
      </w:r>
      <w:r>
        <w:t xml:space="preserve"> </w:t>
      </w:r>
      <w:r>
        <w:t xml:space="preserve">the tumour side requires.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unmeasured half:</w:t>
      </w:r>
      <w:r>
        <w:t xml:space="preserve"> </w:t>
      </w:r>
      <w:r>
        <w:t xml:space="preserve">our dataset contains</w:t>
      </w:r>
      <w:r>
        <w:t xml:space="preserve"> </w:t>
      </w:r>
      <w:r>
        <w:rPr>
          <w:b/>
          <w:bCs/>
        </w:rPr>
        <w:t xml:space="preserve">no 0 % O₂ condition at 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we nonetheless think it holds</w:t>
      </w:r>
      <w:r>
        <w:t xml:space="preserve"> </w:t>
      </w:r>
      <w:r>
        <w:t xml:space="preserve">(neither reason is a measurement): the</w:t>
      </w:r>
      <w:r>
        <w:t xml:space="preserve"> </w:t>
      </w:r>
      <w:r>
        <w:t xml:space="preserve">required repression is modest — 4.4× / 9.2× / 11.5× at the three sites — and</w:t>
      </w:r>
      <w:r>
        <w:t xml:space="preserve"> </w:t>
      </w:r>
      <w:r>
        <w:t xml:space="preserve">the switching range of FNR-type oxygen regulation is 0–1 %, exactly the</w:t>
      </w:r>
      <w:r>
        <w:t xml:space="preserve"> </w:t>
      </w:r>
      <w:r>
        <w:t xml:space="preserve">interval separating the two sites.</w:t>
      </w:r>
    </w:p>
    <w:bookmarkEnd w:id="53"/>
    <w:bookmarkStart w:id="54" w:name="build-specified-not-yet-run"/>
    <w:p>
      <w:pPr>
        <w:pStyle w:val="Heading3"/>
      </w:pPr>
      <w:r>
        <w:t xml:space="preserve">Build — specified, not yet run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lldPRD</w:t>
      </w:r>
      <w:r>
        <w:t xml:space="preserve">-only reporter construct, assayed at 0 % and at 1 % O₂ with lactate</w:t>
      </w:r>
      <w:r>
        <w:t xml:space="preserve"> </w:t>
      </w:r>
      <w:r>
        <w:t xml:space="preserve">held at the tumour value. Nothing else varies between the two conditions, so</w:t>
      </w:r>
      <w:r>
        <w:t xml:space="preserve"> </w:t>
      </w:r>
      <w:r>
        <w:t xml:space="preserve">their ratio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m:oMath>
        <m:sSub>
          <m:e>
            <m:r>
              <m:t xml:space="preserve">ρ</m:t>
            </m:r>
          </m:e>
          <m:sub>
            <m:r>
              <m:rPr>
                <m:nor/>
                <m:sty m:val="p"/>
              </m:rPr>
              <m:t xml:space="preserve">anox</m:t>
            </m:r>
          </m:sub>
        </m:sSub>
      </m:oMath>
      <w:r>
        <w:t xml:space="preserve"> </w:t>
      </w:r>
      <w:r>
        <w:t xml:space="preserve">— the term Cycle 2 had to carry as an</w:t>
      </w:r>
      <w:r>
        <w:t xml:space="preserve"> </w:t>
      </w:r>
      <w:r>
        <w:t xml:space="preserve">assumption.</w:t>
      </w:r>
    </w:p>
    <w:bookmarkEnd w:id="54"/>
    <w:bookmarkStart w:id="55" w:name="test-the-decision-rule-declared-now"/>
    <w:p>
      <w:pPr>
        <w:pStyle w:val="Heading3"/>
      </w:pPr>
      <w:r>
        <w:t xml:space="preserve">Test — the decision rule, declared now</w:t>
      </w:r>
    </w:p>
    <w:p>
      <w:pPr>
        <w:pStyle w:val="BlockText"/>
      </w:pPr>
      <w:r>
        <w:rPr>
          <w:b/>
          <w:bCs/>
        </w:rPr>
        <w:t xml:space="preserve">One plate closes it: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lldPRD</w:t>
      </w:r>
      <w:r>
        <w:rPr>
          <w:b/>
          <w:bCs/>
        </w:rPr>
        <w:t xml:space="preserve">-only reporter, 0 % vs 1 % O₂.</w:t>
      </w:r>
    </w:p>
    <w:p>
      <w:pPr>
        <w:pStyle w:val="FirstParagraph"/>
      </w:pPr>
      <w:r>
        <w:t xml:space="preserve">We write the criterion down before the plate exists, for the same reason Cycle 1</w:t>
      </w:r>
      <w:r>
        <w:t xml:space="preserve"> </w:t>
      </w:r>
      <w:r>
        <w:t xml:space="preserve">declared its bounds in advance. A repression ratio above</w:t>
      </w:r>
      <w:r>
        <w:t xml:space="preserve"> </w:t>
      </w:r>
      <w:r>
        <w:rPr>
          <w:b/>
          <w:bCs/>
        </w:rPr>
        <w:t xml:space="preserve">11.5×</w:t>
      </w:r>
      <w:r>
        <w:t xml:space="preserve"> </w:t>
      </w:r>
      <w:r>
        <w:t xml:space="preserve">sustains</w:t>
      </w:r>
      <w:r>
        <w:t xml:space="preserve"> </w:t>
      </w:r>
      <w:r>
        <w:t xml:space="preserve">Cycle 2's conclusion at all three luminal sites. Below</w:t>
      </w:r>
      <w:r>
        <w:t xml:space="preserve"> </w:t>
      </w:r>
      <w:r>
        <w:rPr>
          <w:b/>
          <w:bCs/>
        </w:rPr>
        <w:t xml:space="preserve">4.4×</w:t>
      </w:r>
      <w:r>
        <w:t xml:space="preserve"> </w:t>
      </w:r>
      <w:r>
        <w:t xml:space="preserve">none of them</w:t>
      </w:r>
      <w:r>
        <w:t xml:space="preserve"> </w:t>
      </w:r>
      <w:r>
        <w:t xml:space="preserve">hold, and the recommendation not to swap the promoter has to be withdrawn.</w:t>
      </w:r>
      <w:r>
        <w:t xml:space="preserve"> </w:t>
      </w:r>
      <w:r>
        <w:t xml:space="preserve">Between the two the sites separate, and the page will say which ones survive.</w:t>
      </w:r>
    </w:p>
    <w:bookmarkEnd w:id="55"/>
    <w:bookmarkStart w:id="56" w:name="X0a476eb740258d5a08cfaaae5e0d6c3357d4807"/>
    <w:p>
      <w:pPr>
        <w:pStyle w:val="Heading3"/>
      </w:pPr>
      <w:r>
        <w:t xml:space="preserve">Learn — what specifying it has already settled</w:t>
      </w:r>
    </w:p>
    <w:p>
      <w:pPr>
        <w:pStyle w:val="FirstParagraph"/>
      </w:pPr>
      <w:r>
        <w:t xml:space="preserve">Two things, before any plate is poured. First, our global sensitivity analysis</w:t>
      </w:r>
      <w:r>
        <w:t xml:space="preserve"> </w:t>
      </w:r>
      <w:r>
        <w:t xml:space="preserve">picked out the same parameter independently as the cheapest and most valuable to</w:t>
      </w:r>
      <w:r>
        <w:t xml:space="preserve"> </w:t>
      </w:r>
      <w:r>
        <w:t xml:space="preserve">measure (</w:t>
      </w:r>
      <w:r>
        <w:rPr>
          <w:rStyle w:val="VerbatimChar"/>
        </w:rPr>
        <w:t xml:space="preserve">repression_fold</w:t>
      </w:r>
      <w:r>
        <w:t xml:space="preserve">, S</w:t>
      </w:r>
      <w:r>
        <w:t xml:space="preserve">T</w:t>
      </w:r>
      <w:r>
        <w:t xml:space="preserve"> </w:t>
      </w:r>
      <w:r>
        <w:t xml:space="preserve">= 0.457 at the bottleneck): two</w:t>
      </w:r>
      <w:r>
        <w:t xml:space="preserve"> </w:t>
      </w:r>
      <w:r>
        <w:t xml:space="preserve">methods, arrived at separately, pointing at one plate. Second, having to state</w:t>
      </w:r>
      <w:r>
        <w:t xml:space="preserve"> </w:t>
      </w:r>
      <w:r>
        <w:t xml:space="preserve">the criterion is what forced Cycle 2 to be written as a</w:t>
      </w:r>
      <w:r>
        <w:t xml:space="preserve"> </w:t>
      </w:r>
      <w:r>
        <w:rPr>
          <w:b/>
          <w:bCs/>
        </w:rPr>
        <w:t xml:space="preserve">requirement on the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</w:t>
      </w:r>
      <w:r>
        <w:t xml:space="preserve"> </w:t>
      </w:r>
      <w:r>
        <w:t xml:space="preserve">rather than a claim about its value — which is what keeps that cycle</w:t>
      </w:r>
      <w:r>
        <w:t xml:space="preserve"> </w:t>
      </w:r>
      <w:r>
        <w:t xml:space="preserve">honest while this one stays open.</w:t>
      </w:r>
    </w:p>
    <w:bookmarkEnd w:id="56"/>
    <w:bookmarkStart w:id="57" w:name="next-iteration-4"/>
    <w:p>
      <w:pPr>
        <w:pStyle w:val="Heading3"/>
      </w:pPr>
      <w:r>
        <w:t xml:space="preserve">Next iteration</w:t>
      </w:r>
    </w:p>
    <w:p>
      <w:pPr>
        <w:pStyle w:val="FirstParagraph"/>
      </w:pPr>
      <w:r>
        <w:t xml:space="preserve">Cycle 2 was deliberately written to ask</w:t>
      </w:r>
      <w:r>
        <w:t xml:space="preserve"> </w:t>
      </w:r>
      <w:r>
        <w:rPr>
          <w:b/>
          <w:bCs/>
        </w:rPr>
        <w:t xml:space="preserve">where the parameter must lie</w:t>
      </w:r>
      <w:r>
        <w:t xml:space="preserve"> </w:t>
      </w:r>
      <w:r>
        <w:t xml:space="preserve">rather</w:t>
      </w:r>
      <w:r>
        <w:t xml:space="preserve"> </w:t>
      </w:r>
      <w:r>
        <w:t xml:space="preserve">than to depend on a value we do not have. If the plate comes back as expected,</w:t>
      </w:r>
      <w:r>
        <w:t xml:space="preserve"> </w:t>
      </w:r>
      <w:r>
        <w:t xml:space="preserve">the v3 tissue model replaces an interval with a measurement; if it comes back the</w:t>
      </w:r>
      <w:r>
        <w:t xml:space="preserve"> </w:t>
      </w:r>
      <w:r>
        <w:t xml:space="preserve">other way, Cycle 2's recommendation inverts, and we have already written down</w:t>
      </w:r>
      <w:r>
        <w:t xml:space="preserve"> </w:t>
      </w:r>
      <w:r>
        <w:t xml:space="preserve">that it would.</w:t>
      </w:r>
    </w:p>
    <w:bookmarkEnd w:id="57"/>
    <w:bookmarkEnd w:id="58"/>
    <w:sectPr>
      <w:pgSz w:h="16838" w:w="11906"/>
      <w:pgMar w:bottom="1134" w:footer="709" w:gutter="0" w:header="709" w:left="1134" w:right="1134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Relationship Type="http://schemas.openxmlformats.org/officeDocument/2006/relationships/image" Id="rId24" Target="media/rId24.png"/><Relationship Type="http://schemas.openxmlformats.org/officeDocument/2006/relationships/image" Id="rId37" Target="media/rId37.png"/><Relationship Type="http://schemas.openxmlformats.org/officeDocument/2006/relationships/image" Id="rId46" Target="media/rId46.png"/><Relationship Type="http://schemas.openxmlformats.org/officeDocument/2006/relationships/image" Id="rId11" Target="media/rId11.png"/><Relationship Id="rIdSvg1" Type="http://schemas.openxmlformats.org/officeDocument/2006/relationships/image" Target="media/fig3_3_arm_direction.svg"/><Relationship Id="rIdSvg2" Type="http://schemas.openxmlformats.org/officeDocument/2006/relationships/image" Target="media/fig4_4_cluster.svg"/><Relationship Id="rIdSvg3" Type="http://schemas.openxmlformats.org/officeDocument/2006/relationships/image" Target="media/fig4_6_dose_requirement.svg"/><Relationship Id="rIdSvg4" Type="http://schemas.openxmlformats.org/officeDocument/2006/relationships/image" Target="media/fig2_2_gate_holdout.sv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— Modeling</dc:title>
  <dc:creator/>
  <cp:keywords/>
  <dcterms:created xsi:type="dcterms:W3CDTF">2026-10-21T09:19:06Z</dcterms:created>
  <dcterms:modified xsi:type="dcterms:W3CDTF">2026-10-21T09:19:06Z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