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第1页 保护个人账号</w:t>
      </w:r>
    </w:p>
    <w:p>
      <w:r>
        <w:t>这节课讨论个人账号安全。重要账号应使用不同的密码，并尽量采用较长、难以猜测的组合。支持双重验证的服务可以增加这一层保护。验证码和账号恢复码同样需要保管，不应提供给自称客服或熟人的其他人。</w:t>
      </w:r>
    </w:p>
    <w:p>
      <w:pPr>
        <w:pStyle w:val="Heading1"/>
      </w:pPr>
      <w:r>
        <w:t>第2页 识别可疑中奖信息</w:t>
      </w:r>
    </w:p>
    <w:p>
      <w:r>
        <w:t>假设你收到一条中奖消息，要求点击链接并输入密码和验证码。此时应先暂停操作，核对消息来源和网站域名。不要在陌生页面提交这些信息，可以通过官方网站或已知的客服电话独立确认。请判断，页面上出现熟悉的标志，是否足以说明网站可靠？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240"/>
    </w:pPr>
    <w:rPr>
      <w:rFonts w:ascii="Songti SC" w:hAnsi="Songti SC" w:eastAsia="Songti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网络安全与防诈骗逐页讲稿</dc:title>
  <dc:subject/>
  <dc:creator>智课工坊示例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