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2C5E144F" w:rsidR="001601DC" w:rsidRPr="00FE64FD" w:rsidRDefault="00FE64FD" w:rsidP="00370C76">
      <w:pPr>
        <w:pBdr>
          <w:bottom w:val="single" w:sz="6" w:space="1" w:color="auto"/>
        </w:pBdr>
        <w:spacing w:after="0" w:line="240" w:lineRule="auto"/>
        <w:rPr>
          <w:rFonts w:ascii="新宋体" w:eastAsia="新宋体" w:hAnsi="新宋体" w:hint="eastAsia"/>
          <w:b/>
          <w:sz w:val="32"/>
          <w:szCs w:val="32"/>
          <w:lang w:eastAsia="zh-CN"/>
        </w:rPr>
      </w:pPr>
      <w:r w:rsidRPr="00FE64FD">
        <w:rPr>
          <w:rFonts w:ascii="新宋体" w:eastAsia="新宋体" w:hAnsi="新宋体" w:hint="eastAsia"/>
          <w:b/>
          <w:sz w:val="32"/>
          <w:szCs w:val="32"/>
          <w:lang w:eastAsia="zh-CN"/>
        </w:rPr>
        <w:t>凤黄浩</w:t>
      </w:r>
      <w:r w:rsidR="00370C76">
        <w:rPr>
          <w:b/>
          <w:sz w:val="32"/>
          <w:szCs w:val="32"/>
          <w:lang w:eastAsia="zh-CN"/>
        </w:rPr>
        <w:tab/>
      </w:r>
      <w:r w:rsidR="00370C76">
        <w:rPr>
          <w:b/>
          <w:sz w:val="32"/>
          <w:szCs w:val="32"/>
          <w:lang w:eastAsia="zh-CN"/>
        </w:rPr>
        <w:tab/>
      </w:r>
      <w:r w:rsidR="00370C76">
        <w:rPr>
          <w:b/>
          <w:sz w:val="32"/>
          <w:szCs w:val="32"/>
          <w:lang w:eastAsia="zh-CN"/>
        </w:rPr>
        <w:tab/>
      </w:r>
      <w:r w:rsidR="00370C76">
        <w:rPr>
          <w:b/>
          <w:sz w:val="32"/>
          <w:szCs w:val="32"/>
          <w:lang w:eastAsia="zh-CN"/>
        </w:rPr>
        <w:tab/>
      </w:r>
      <w:r w:rsidR="00370C76">
        <w:rPr>
          <w:b/>
          <w:sz w:val="32"/>
          <w:szCs w:val="32"/>
          <w:lang w:eastAsia="zh-CN"/>
        </w:rPr>
        <w:tab/>
        <w:t xml:space="preserve">     </w:t>
      </w:r>
      <w:r>
        <w:rPr>
          <w:b/>
          <w:sz w:val="32"/>
          <w:szCs w:val="32"/>
          <w:lang w:eastAsia="zh-CN"/>
        </w:rPr>
        <w:tab/>
      </w:r>
      <w:r>
        <w:rPr>
          <w:b/>
          <w:sz w:val="32"/>
          <w:szCs w:val="32"/>
          <w:lang w:eastAsia="zh-CN"/>
        </w:rPr>
        <w:tab/>
        <w:t xml:space="preserve">    </w:t>
      </w:r>
      <w:r w:rsidR="00761FD3">
        <w:rPr>
          <w:b/>
          <w:sz w:val="32"/>
          <w:szCs w:val="32"/>
          <w:lang w:eastAsia="zh-CN"/>
        </w:rPr>
        <w:tab/>
      </w:r>
      <w:r w:rsidR="00761FD3">
        <w:rPr>
          <w:b/>
          <w:sz w:val="32"/>
          <w:szCs w:val="32"/>
          <w:lang w:eastAsia="zh-CN"/>
        </w:rPr>
        <w:tab/>
      </w:r>
      <w:r w:rsidR="00761FD3">
        <w:rPr>
          <w:b/>
          <w:sz w:val="32"/>
          <w:szCs w:val="32"/>
          <w:lang w:eastAsia="zh-CN"/>
        </w:rPr>
        <w:tab/>
      </w:r>
      <w:r w:rsidR="002E2EC3" w:rsidRPr="002E2EC3">
        <w:rPr>
          <w:rFonts w:ascii="新宋体" w:eastAsia="新宋体" w:hAnsi="新宋体" w:hint="eastAsia"/>
          <w:b/>
          <w:sz w:val="32"/>
          <w:szCs w:val="32"/>
          <w:lang w:eastAsia="zh-CN"/>
        </w:rPr>
        <w:t>个人</w:t>
      </w:r>
      <w:r w:rsidRPr="002E2EC3">
        <w:rPr>
          <w:rFonts w:ascii="新宋体" w:eastAsia="新宋体" w:hAnsi="新宋体" w:hint="eastAsia"/>
          <w:b/>
          <w:bCs/>
          <w:sz w:val="32"/>
          <w:szCs w:val="32"/>
          <w:lang w:eastAsia="zh-CN"/>
        </w:rPr>
        <w:t>履历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  <w:lang w:eastAsia="zh-CN"/>
        </w:rPr>
      </w:pPr>
    </w:p>
    <w:p w14:paraId="323A12C2" w14:textId="18B3C2B3" w:rsidR="00370C76" w:rsidRPr="00FE64FD" w:rsidRDefault="00FE64FD" w:rsidP="005723E9">
      <w:pPr>
        <w:spacing w:after="0" w:line="240" w:lineRule="auto"/>
        <w:ind w:right="360" w:firstLine="270"/>
        <w:rPr>
          <w:rFonts w:ascii="新宋体" w:eastAsia="新宋体" w:hAnsi="新宋体"/>
          <w:sz w:val="20"/>
          <w:szCs w:val="20"/>
          <w:lang w:eastAsia="zh-CN"/>
        </w:rPr>
      </w:pPr>
      <w:r w:rsidRPr="00FE64FD">
        <w:rPr>
          <w:rFonts w:ascii="新宋体" w:eastAsia="新宋体" w:hAnsi="新宋体" w:hint="eastAsia"/>
          <w:sz w:val="20"/>
          <w:szCs w:val="20"/>
          <w:lang w:eastAsia="zh-CN"/>
        </w:rPr>
        <w:t>博士研究生</w:t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370C76" w:rsidRPr="00FE64FD">
        <w:rPr>
          <w:rFonts w:ascii="新宋体" w:eastAsia="新宋体" w:hAnsi="新宋体"/>
          <w:sz w:val="20"/>
          <w:szCs w:val="20"/>
          <w:lang w:eastAsia="zh-CN"/>
        </w:rPr>
        <w:tab/>
      </w:r>
      <w:r w:rsidR="00485AB9" w:rsidRPr="00FE64FD">
        <w:rPr>
          <w:rFonts w:ascii="新宋体" w:eastAsia="新宋体" w:hAnsi="新宋体"/>
          <w:sz w:val="20"/>
          <w:szCs w:val="20"/>
          <w:lang w:eastAsia="zh-CN"/>
        </w:rPr>
        <w:t xml:space="preserve">     </w:t>
      </w:r>
      <w:r>
        <w:rPr>
          <w:rFonts w:ascii="新宋体" w:eastAsia="新宋体" w:hAnsi="新宋体"/>
          <w:color w:val="A6A6A6" w:themeColor="background1" w:themeShade="A6"/>
          <w:sz w:val="20"/>
          <w:szCs w:val="20"/>
          <w:lang w:eastAsia="zh-CN"/>
        </w:rPr>
        <w:t>2019.9.26</w:t>
      </w:r>
    </w:p>
    <w:p w14:paraId="10ADCF07" w14:textId="06531122" w:rsidR="00370C76" w:rsidRPr="00FE64FD" w:rsidRDefault="00FE64FD" w:rsidP="005723E9">
      <w:pPr>
        <w:spacing w:after="0" w:line="240" w:lineRule="auto"/>
        <w:ind w:firstLine="270"/>
        <w:rPr>
          <w:rFonts w:ascii="新宋体" w:eastAsia="新宋体" w:hAnsi="新宋体"/>
          <w:sz w:val="20"/>
          <w:szCs w:val="20"/>
          <w:lang w:eastAsia="zh-CN"/>
        </w:rPr>
      </w:pPr>
      <w:r w:rsidRPr="00FE64FD">
        <w:rPr>
          <w:rFonts w:ascii="新宋体" w:eastAsia="新宋体" w:hAnsi="新宋体" w:hint="eastAsia"/>
          <w:sz w:val="20"/>
          <w:szCs w:val="20"/>
          <w:lang w:eastAsia="zh-CN"/>
        </w:rPr>
        <w:t>计算机</w:t>
      </w:r>
      <w:r w:rsidRPr="00FE64FD">
        <w:rPr>
          <w:rFonts w:ascii="新宋体" w:eastAsia="新宋体" w:hAnsi="新宋体"/>
          <w:sz w:val="20"/>
          <w:szCs w:val="20"/>
          <w:lang w:eastAsia="zh-CN"/>
        </w:rPr>
        <w:t>视觉与社交机器人实验室</w:t>
      </w:r>
    </w:p>
    <w:p w14:paraId="2AECDD59" w14:textId="4FC9B49F" w:rsidR="00370C76" w:rsidRPr="00FE64FD" w:rsidRDefault="00FE64FD" w:rsidP="005723E9">
      <w:pPr>
        <w:spacing w:after="0" w:line="240" w:lineRule="auto"/>
        <w:ind w:firstLine="270"/>
        <w:rPr>
          <w:rFonts w:ascii="新宋体" w:eastAsia="新宋体" w:hAnsi="新宋体"/>
          <w:sz w:val="20"/>
          <w:szCs w:val="20"/>
          <w:lang w:eastAsia="zh-CN"/>
        </w:rPr>
      </w:pPr>
      <w:r w:rsidRPr="00FE64FD">
        <w:rPr>
          <w:rFonts w:ascii="新宋体" w:eastAsia="新宋体" w:hAnsi="新宋体" w:hint="eastAsia"/>
          <w:sz w:val="20"/>
          <w:szCs w:val="20"/>
          <w:lang w:eastAsia="zh-CN"/>
        </w:rPr>
        <w:t>电气</w:t>
      </w:r>
      <w:r w:rsidRPr="00FE64FD">
        <w:rPr>
          <w:rFonts w:ascii="新宋体" w:eastAsia="新宋体" w:hAnsi="新宋体"/>
          <w:sz w:val="20"/>
          <w:szCs w:val="20"/>
          <w:lang w:eastAsia="zh-CN"/>
        </w:rPr>
        <w:t>与计算机工程学院</w:t>
      </w:r>
    </w:p>
    <w:p w14:paraId="5CC8014B" w14:textId="0B79BCEE" w:rsidR="00370C76" w:rsidRPr="00FE64FD" w:rsidRDefault="00FE64FD" w:rsidP="005723E9">
      <w:pPr>
        <w:spacing w:after="0" w:line="240" w:lineRule="auto"/>
        <w:ind w:firstLine="270"/>
        <w:rPr>
          <w:rFonts w:ascii="新宋体" w:eastAsia="新宋体" w:hAnsi="新宋体" w:hint="eastAsia"/>
          <w:sz w:val="20"/>
          <w:szCs w:val="20"/>
          <w:lang w:eastAsia="zh-CN"/>
        </w:rPr>
      </w:pPr>
      <w:r w:rsidRPr="00FE64FD">
        <w:rPr>
          <w:rFonts w:ascii="新宋体" w:eastAsia="新宋体" w:hAnsi="新宋体" w:hint="eastAsia"/>
          <w:sz w:val="20"/>
          <w:szCs w:val="20"/>
          <w:lang w:eastAsia="zh-CN"/>
        </w:rPr>
        <w:t>丹佛</w:t>
      </w:r>
      <w:r w:rsidRPr="00FE64FD">
        <w:rPr>
          <w:rFonts w:ascii="新宋体" w:eastAsia="新宋体" w:hAnsi="新宋体"/>
          <w:sz w:val="20"/>
          <w:szCs w:val="20"/>
          <w:lang w:eastAsia="zh-CN"/>
        </w:rPr>
        <w:t>大学</w:t>
      </w:r>
    </w:p>
    <w:p w14:paraId="127154A0" w14:textId="533563D3" w:rsidR="009A4C10" w:rsidRDefault="00C74CD1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  <w:lang w:eastAsia="zh-CN"/>
        </w:rPr>
      </w:pPr>
      <w:hyperlink r:id="rId8" w:history="1">
        <w:r w:rsidR="00370C76" w:rsidRPr="00527F41">
          <w:rPr>
            <w:rStyle w:val="Hyperlink"/>
            <w:sz w:val="20"/>
            <w:szCs w:val="20"/>
            <w:lang w:eastAsia="zh-CN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  <w:lang w:eastAsia="zh-CN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  <w:lang w:eastAsia="zh-CN"/>
        </w:rPr>
      </w:pPr>
    </w:p>
    <w:p w14:paraId="2EB4967C" w14:textId="7A164AA4" w:rsidR="00370C76" w:rsidRPr="00761FD3" w:rsidRDefault="00FE64FD" w:rsidP="001601DC">
      <w:pPr>
        <w:spacing w:after="0" w:line="240" w:lineRule="auto"/>
        <w:rPr>
          <w:rFonts w:ascii="新宋体" w:eastAsia="新宋体" w:hAnsi="新宋体" w:hint="eastAsia"/>
          <w:b/>
          <w:szCs w:val="24"/>
          <w:lang w:eastAsia="zh-CN"/>
        </w:rPr>
      </w:pPr>
      <w:r w:rsidRPr="00761FD3">
        <w:rPr>
          <w:rFonts w:ascii="新宋体" w:eastAsia="新宋体" w:hAnsi="新宋体" w:hint="eastAsia"/>
          <w:b/>
          <w:szCs w:val="24"/>
          <w:lang w:eastAsia="zh-CN"/>
        </w:rPr>
        <w:t>科研</w:t>
      </w:r>
      <w:r w:rsidRPr="00761FD3">
        <w:rPr>
          <w:rFonts w:ascii="新宋体" w:eastAsia="新宋体" w:hAnsi="新宋体"/>
          <w:b/>
          <w:szCs w:val="24"/>
          <w:lang w:eastAsia="zh-CN"/>
        </w:rPr>
        <w:t>方向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  <w:lang w:eastAsia="zh-CN"/>
        </w:rPr>
      </w:pPr>
    </w:p>
    <w:p w14:paraId="4DB49904" w14:textId="0283FA76" w:rsidR="00485AB9" w:rsidRPr="00761FD3" w:rsidRDefault="00FE64FD" w:rsidP="005723E9">
      <w:pPr>
        <w:spacing w:after="0" w:line="240" w:lineRule="auto"/>
        <w:ind w:left="270"/>
        <w:rPr>
          <w:rFonts w:ascii="新宋体" w:eastAsia="新宋体" w:hAnsi="新宋体"/>
          <w:bCs/>
          <w:sz w:val="20"/>
          <w:szCs w:val="20"/>
        </w:rPr>
      </w:pP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机器人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；计算机音乐；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情绪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分析；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音乐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与科技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；原声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音乐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分析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；人与机器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（人）交互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设计；音乐游戏设计；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基于人参与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的人工智能情感音乐编曲和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私人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订制；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STEM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教育中的机器人，艺术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和</w:t>
      </w:r>
      <w:r w:rsidRPr="00761FD3">
        <w:rPr>
          <w:rFonts w:ascii="新宋体" w:eastAsia="新宋体" w:hAnsi="新宋体"/>
          <w:bCs/>
          <w:sz w:val="20"/>
          <w:szCs w:val="20"/>
          <w:lang w:eastAsia="zh-CN"/>
        </w:rPr>
        <w:t>人性</w:t>
      </w:r>
      <w:r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；</w:t>
      </w:r>
      <w:r w:rsidR="00761FD3"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基于</w:t>
      </w:r>
      <w:r w:rsidR="00761FD3" w:rsidRPr="00761FD3">
        <w:rPr>
          <w:rFonts w:ascii="新宋体" w:eastAsia="新宋体" w:hAnsi="新宋体"/>
          <w:bCs/>
          <w:sz w:val="20"/>
          <w:szCs w:val="20"/>
          <w:lang w:eastAsia="zh-CN"/>
        </w:rPr>
        <w:t>VR</w:t>
      </w:r>
      <w:r w:rsidR="00761FD3"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/AR的</w:t>
      </w:r>
      <w:r w:rsidR="00761FD3" w:rsidRPr="00761FD3">
        <w:rPr>
          <w:rFonts w:ascii="新宋体" w:eastAsia="新宋体" w:hAnsi="新宋体"/>
          <w:bCs/>
          <w:sz w:val="20"/>
          <w:szCs w:val="20"/>
          <w:lang w:eastAsia="zh-CN"/>
        </w:rPr>
        <w:t>交互式音乐游戏设计；计算机视觉；</w:t>
      </w:r>
      <w:r w:rsidR="00761FD3" w:rsidRPr="00761FD3">
        <w:rPr>
          <w:rFonts w:ascii="新宋体" w:eastAsia="新宋体" w:hAnsi="新宋体" w:hint="eastAsia"/>
          <w:bCs/>
          <w:sz w:val="20"/>
          <w:szCs w:val="20"/>
          <w:lang w:eastAsia="zh-CN"/>
        </w:rPr>
        <w:t>自闭症。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783FC11B" w:rsidR="001601DC" w:rsidRPr="000C71E1" w:rsidRDefault="004C1FF7" w:rsidP="001601DC">
      <w:pPr>
        <w:spacing w:after="0" w:line="240" w:lineRule="auto"/>
        <w:rPr>
          <w:rFonts w:hint="eastAsia"/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教育</w:t>
      </w:r>
      <w:r>
        <w:rPr>
          <w:b/>
          <w:szCs w:val="24"/>
          <w:lang w:eastAsia="zh-CN"/>
        </w:rPr>
        <w:t>经历</w:t>
      </w:r>
    </w:p>
    <w:p w14:paraId="59A32639" w14:textId="77777777" w:rsidR="005C6AA2" w:rsidRDefault="005C6AA2" w:rsidP="00884CF4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1640"/>
        <w:gridCol w:w="4340"/>
        <w:gridCol w:w="1780"/>
        <w:gridCol w:w="1780"/>
      </w:tblGrid>
      <w:tr w:rsidR="005C6AA2" w:rsidRPr="005C6AA2" w14:paraId="49257829" w14:textId="77777777" w:rsidTr="005C6AA2">
        <w:trPr>
          <w:trHeight w:val="55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30EC6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 w:hint="eastAsia"/>
                <w:color w:val="000000"/>
                <w:sz w:val="22"/>
                <w:lang w:eastAsia="zh-CN"/>
              </w:rPr>
              <w:t>学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位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A9972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教育机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构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D8A3F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毕业日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期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D78F1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专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业</w:t>
            </w:r>
          </w:p>
        </w:tc>
      </w:tr>
      <w:tr w:rsidR="005C6AA2" w:rsidRPr="005C6AA2" w14:paraId="58921FA9" w14:textId="77777777" w:rsidTr="005C6AA2">
        <w:trPr>
          <w:trHeight w:val="207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FA917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博士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6BC48" w14:textId="023FB052" w:rsidR="005C6AA2" w:rsidRPr="005C6AA2" w:rsidRDefault="005C6AA2" w:rsidP="005C6AA2">
            <w:pPr>
              <w:spacing w:after="0" w:line="240" w:lineRule="auto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丹佛大学电气与电脑科学系</w:t>
            </w: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                           </w:t>
            </w: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毕业论文：</w:t>
            </w:r>
            <w:proofErr w:type="spellStart"/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>Xylo</w:t>
            </w:r>
            <w:proofErr w:type="spellEnd"/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-Bot: An Automated Music Teaching Robot Platform System for Children with Autism (In Progress)                                  </w:t>
            </w:r>
            <w:r w:rsidRPr="005C6AA2">
              <w:rPr>
                <w:rFonts w:ascii="新宋体" w:eastAsia="新宋体" w:hAnsi="新宋体" w:cs="微软雅黑" w:hint="eastAsia"/>
                <w:color w:val="000000"/>
                <w:sz w:val="22"/>
                <w:lang w:eastAsia="zh-CN"/>
              </w:rPr>
              <w:t>博士研究生</w:t>
            </w: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导师：</w:t>
            </w: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Mohammad H. </w:t>
            </w:r>
            <w:proofErr w:type="spellStart"/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>Mahoor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209B1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>2020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ACEF3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电气与电脑工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程</w:t>
            </w:r>
          </w:p>
        </w:tc>
      </w:tr>
      <w:tr w:rsidR="005C6AA2" w:rsidRPr="005C6AA2" w14:paraId="7A605938" w14:textId="77777777" w:rsidTr="005C6AA2">
        <w:trPr>
          <w:trHeight w:val="321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57912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硕士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2B036" w14:textId="42C7B38B" w:rsidR="005C6AA2" w:rsidRPr="005C6AA2" w:rsidRDefault="005C6AA2" w:rsidP="005C6AA2">
            <w:pPr>
              <w:spacing w:after="0" w:line="240" w:lineRule="auto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丹佛大学电气与电脑科学系</w:t>
            </w: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                           </w:t>
            </w: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毕业论文：</w:t>
            </w: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Studying Eye Gaze of Children with Autism Spectrum Disorders in Interaction with a Social Robot                            </w:t>
            </w:r>
            <w:r w:rsidRPr="005C6AA2">
              <w:rPr>
                <w:rFonts w:ascii="新宋体" w:eastAsia="新宋体" w:hAnsi="新宋体" w:cs="微软雅黑" w:hint="eastAsia"/>
                <w:color w:val="000000"/>
                <w:sz w:val="22"/>
                <w:lang w:eastAsia="zh-CN"/>
              </w:rPr>
              <w:t>硕士</w:t>
            </w: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研究</w:t>
            </w:r>
            <w:r w:rsidRPr="005C6AA2">
              <w:rPr>
                <w:rFonts w:ascii="新宋体" w:eastAsia="新宋体" w:hAnsi="新宋体" w:cs="微软雅黑" w:hint="eastAsia"/>
                <w:color w:val="000000"/>
                <w:sz w:val="22"/>
                <w:lang w:eastAsia="zh-CN"/>
              </w:rPr>
              <w:t>生</w:t>
            </w: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导师：</w:t>
            </w: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 Mohammad H. </w:t>
            </w:r>
            <w:proofErr w:type="spellStart"/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>Mahoor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EC716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>2014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844B3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电气与电脑工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程</w:t>
            </w:r>
          </w:p>
        </w:tc>
      </w:tr>
      <w:tr w:rsidR="005C6AA2" w:rsidRPr="005C6AA2" w14:paraId="4BDE0225" w14:textId="77777777" w:rsidTr="005C6AA2">
        <w:trPr>
          <w:trHeight w:val="165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BC383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本科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85055" w14:textId="51451AFF" w:rsidR="005C6AA2" w:rsidRPr="005C6AA2" w:rsidRDefault="005C6AA2" w:rsidP="005C6AA2">
            <w:pPr>
              <w:spacing w:after="0" w:line="240" w:lineRule="auto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苏州科技大学电气与信息技术系</w:t>
            </w: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                  </w:t>
            </w: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毕业设计：安卓应用：汽车信息查询系统</w:t>
            </w: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 xml:space="preserve"> </w:t>
            </w: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指导老师：谷慧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娟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E9B40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/>
                <w:color w:val="000000"/>
                <w:sz w:val="22"/>
                <w:lang w:eastAsia="zh-CN"/>
              </w:rPr>
              <w:t>2011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6E64E" w14:textId="77777777" w:rsidR="005C6AA2" w:rsidRPr="005C6AA2" w:rsidRDefault="005C6AA2" w:rsidP="005C6AA2">
            <w:pPr>
              <w:spacing w:after="0" w:line="240" w:lineRule="auto"/>
              <w:jc w:val="center"/>
              <w:rPr>
                <w:rFonts w:ascii="新宋体" w:eastAsia="新宋体" w:hAnsi="新宋体"/>
                <w:color w:val="000000"/>
                <w:sz w:val="22"/>
                <w:lang w:eastAsia="zh-CN"/>
              </w:rPr>
            </w:pPr>
            <w:r w:rsidRPr="005C6AA2">
              <w:rPr>
                <w:rFonts w:ascii="新宋体" w:eastAsia="新宋体" w:hAnsi="新宋体" w:cs="微软雅黑"/>
                <w:color w:val="000000"/>
                <w:sz w:val="22"/>
                <w:lang w:eastAsia="zh-CN"/>
              </w:rPr>
              <w:t>信息技</w:t>
            </w:r>
            <w:r w:rsidRPr="005C6AA2">
              <w:rPr>
                <w:rFonts w:ascii="新宋体" w:eastAsia="新宋体" w:hAnsi="新宋体" w:cs="宋体"/>
                <w:color w:val="000000"/>
                <w:sz w:val="22"/>
                <w:lang w:eastAsia="zh-CN"/>
              </w:rPr>
              <w:t>术</w:t>
            </w:r>
          </w:p>
        </w:tc>
      </w:tr>
    </w:tbl>
    <w:p w14:paraId="62FE32D8" w14:textId="77777777" w:rsidR="005C6AA2" w:rsidRDefault="005C6AA2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5C6AA2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1B5479" w14:textId="136D0D47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 xml:space="preserve">                                                            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0C555C77" w:rsidR="00483D98" w:rsidRPr="000C71E1" w:rsidRDefault="00C7196A" w:rsidP="00C1361A">
      <w:pPr>
        <w:spacing w:after="0" w:line="240" w:lineRule="auto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作品：</w:t>
      </w:r>
      <w:r>
        <w:rPr>
          <w:b/>
          <w:szCs w:val="24"/>
          <w:lang w:eastAsia="zh-CN"/>
        </w:rPr>
        <w:t>设计</w:t>
      </w:r>
      <w:r>
        <w:rPr>
          <w:rFonts w:hint="eastAsia"/>
          <w:b/>
          <w:szCs w:val="24"/>
          <w:lang w:eastAsia="zh-CN"/>
        </w:rPr>
        <w:t>，发表论文以及海报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5E057DA" w14:textId="549A3E59" w:rsidR="00984EAF" w:rsidRDefault="00C7196A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设计</w:t>
      </w:r>
      <w:r w:rsidR="00984EAF">
        <w:rPr>
          <w:b/>
          <w:sz w:val="20"/>
          <w:szCs w:val="20"/>
        </w:rPr>
        <w:t xml:space="preserve">: </w:t>
      </w:r>
      <w:proofErr w:type="spellStart"/>
      <w:r w:rsidR="00984EAF" w:rsidRPr="003A5F3F">
        <w:rPr>
          <w:b/>
          <w:i/>
          <w:iCs/>
          <w:sz w:val="20"/>
          <w:szCs w:val="20"/>
        </w:rPr>
        <w:t>Xylo</w:t>
      </w:r>
      <w:proofErr w:type="spellEnd"/>
      <w:r w:rsidR="00984EAF" w:rsidRPr="003A5F3F">
        <w:rPr>
          <w:b/>
          <w:i/>
          <w:iCs/>
          <w:sz w:val="20"/>
          <w:szCs w:val="20"/>
        </w:rPr>
        <w:t>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>(we call it X-</w:t>
      </w:r>
      <w:proofErr w:type="spellStart"/>
      <w:r w:rsidR="0055594F">
        <w:rPr>
          <w:bCs/>
          <w:sz w:val="20"/>
          <w:szCs w:val="20"/>
        </w:rPr>
        <w:t>elophone</w:t>
      </w:r>
      <w:proofErr w:type="spellEnd"/>
      <w:r w:rsidR="0055594F">
        <w:rPr>
          <w:bCs/>
          <w:sz w:val="20"/>
          <w:szCs w:val="20"/>
        </w:rPr>
        <w:t xml:space="preserve">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 xml:space="preserve">ieved positive feedbacks from digital music giants Jordan </w:t>
      </w:r>
      <w:proofErr w:type="spellStart"/>
      <w:r w:rsidR="00E45A9C">
        <w:rPr>
          <w:bCs/>
          <w:sz w:val="20"/>
          <w:szCs w:val="20"/>
        </w:rPr>
        <w:t>Rudess</w:t>
      </w:r>
      <w:proofErr w:type="spellEnd"/>
      <w:r w:rsidR="00E45A9C">
        <w:rPr>
          <w:bCs/>
          <w:sz w:val="20"/>
          <w:szCs w:val="20"/>
        </w:rPr>
        <w:t xml:space="preserve">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67E4CD24" w:rsidR="004A5353" w:rsidRDefault="00C7196A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设计</w:t>
      </w:r>
      <w:r w:rsidR="004A5353">
        <w:rPr>
          <w:b/>
          <w:sz w:val="20"/>
          <w:szCs w:val="20"/>
        </w:rPr>
        <w:t xml:space="preserve">: </w:t>
      </w:r>
      <w:r w:rsidR="004A5353"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proofErr w:type="spellStart"/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>lophone</w:t>
      </w:r>
      <w:proofErr w:type="spellEnd"/>
      <w:r w:rsidR="008F5133">
        <w:rPr>
          <w:b/>
          <w:i/>
          <w:iCs/>
          <w:sz w:val="20"/>
          <w:szCs w:val="20"/>
        </w:rPr>
        <w:t xml:space="preserve">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</w:t>
      </w:r>
      <w:proofErr w:type="spellStart"/>
      <w:r w:rsidR="00181B6F">
        <w:rPr>
          <w:bCs/>
          <w:sz w:val="20"/>
          <w:szCs w:val="20"/>
        </w:rPr>
        <w:t>elophone</w:t>
      </w:r>
      <w:proofErr w:type="spellEnd"/>
      <w:r w:rsidR="00181B6F">
        <w:rPr>
          <w:bCs/>
          <w:sz w:val="20"/>
          <w:szCs w:val="20"/>
        </w:rPr>
        <w:t xml:space="preserve"> has been demonstrated at Denver International Festival of Arts &amp; Technology Symposium for the very first time and currently being used in a Music, Robot and Autism research with </w:t>
      </w:r>
      <w:proofErr w:type="spellStart"/>
      <w:r w:rsidR="00181B6F">
        <w:rPr>
          <w:bCs/>
          <w:sz w:val="20"/>
          <w:szCs w:val="20"/>
        </w:rPr>
        <w:t>Xylo</w:t>
      </w:r>
      <w:proofErr w:type="spellEnd"/>
      <w:r w:rsidR="00181B6F">
        <w:rPr>
          <w:bCs/>
          <w:sz w:val="20"/>
          <w:szCs w:val="20"/>
        </w:rPr>
        <w:t>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6B39A126" w:rsidR="00FD5565" w:rsidRDefault="004C1FF7" w:rsidP="00C1361A">
      <w:pPr>
        <w:spacing w:after="0" w:line="240" w:lineRule="auto"/>
        <w:rPr>
          <w:rFonts w:hint="eastAsia"/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>期刊杂志</w:t>
      </w:r>
      <w:r>
        <w:rPr>
          <w:b/>
          <w:sz w:val="20"/>
          <w:szCs w:val="20"/>
          <w:lang w:eastAsia="zh-CN"/>
        </w:rPr>
        <w:t>：</w:t>
      </w:r>
      <w:bookmarkStart w:id="0" w:name="_GoBack"/>
      <w:bookmarkEnd w:id="0"/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A47717">
        <w:rPr>
          <w:rFonts w:hint="eastAsia"/>
          <w:sz w:val="20"/>
          <w:szCs w:val="20"/>
        </w:rPr>
        <w:t>Mihalache</w:t>
      </w:r>
      <w:proofErr w:type="spellEnd"/>
      <w:r w:rsidRPr="00A47717">
        <w:rPr>
          <w:rFonts w:hint="eastAsia"/>
          <w:sz w:val="20"/>
          <w:szCs w:val="20"/>
        </w:rPr>
        <w:t xml:space="preserve">, D., Feng, H., </w:t>
      </w:r>
      <w:proofErr w:type="spellStart"/>
      <w:r w:rsidRPr="00A47717">
        <w:rPr>
          <w:rFonts w:hint="eastAsia"/>
          <w:sz w:val="20"/>
          <w:szCs w:val="20"/>
        </w:rPr>
        <w:t>Askari</w:t>
      </w:r>
      <w:proofErr w:type="spellEnd"/>
      <w:r w:rsidRPr="00A47717">
        <w:rPr>
          <w:rFonts w:hint="eastAsia"/>
          <w:sz w:val="20"/>
          <w:szCs w:val="20"/>
        </w:rPr>
        <w:t xml:space="preserve">, F., </w:t>
      </w:r>
      <w:proofErr w:type="spellStart"/>
      <w:r w:rsidRPr="00A47717">
        <w:rPr>
          <w:rFonts w:hint="eastAsia"/>
          <w:sz w:val="20"/>
          <w:szCs w:val="20"/>
        </w:rPr>
        <w:t>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>Hessner</w:t>
      </w:r>
      <w:proofErr w:type="spellEnd"/>
      <w:r w:rsidRPr="00A47717">
        <w:rPr>
          <w:rFonts w:hint="eastAsia"/>
          <w:sz w:val="20"/>
          <w:szCs w:val="20"/>
        </w:rPr>
        <w:t xml:space="preserve">, P., Moody, E.J., </w:t>
      </w:r>
      <w:proofErr w:type="spellStart"/>
      <w:r w:rsidRPr="00A47717">
        <w:rPr>
          <w:rFonts w:hint="eastAsia"/>
          <w:sz w:val="20"/>
          <w:szCs w:val="20"/>
        </w:rPr>
        <w:t>Mahoor</w:t>
      </w:r>
      <w:proofErr w:type="spellEnd"/>
      <w:r w:rsidRPr="00A47717">
        <w:rPr>
          <w:rFonts w:hint="eastAsia"/>
          <w:sz w:val="20"/>
          <w:szCs w:val="20"/>
        </w:rPr>
        <w:t xml:space="preserve">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</w:t>
      </w:r>
      <w:proofErr w:type="spellStart"/>
      <w:r w:rsidRPr="00B3269E">
        <w:rPr>
          <w:sz w:val="20"/>
          <w:szCs w:val="20"/>
        </w:rPr>
        <w:t>Golshan</w:t>
      </w:r>
      <w:proofErr w:type="spellEnd"/>
      <w:r w:rsidRPr="00B3269E">
        <w:rPr>
          <w:sz w:val="20"/>
          <w:szCs w:val="20"/>
        </w:rPr>
        <w:t xml:space="preserve">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1B80E8E5" w:rsidR="0028476B" w:rsidRPr="0028476B" w:rsidRDefault="004C1FF7" w:rsidP="00F91F42">
      <w:pPr>
        <w:spacing w:before="120" w:after="0" w:line="240" w:lineRule="auto"/>
        <w:rPr>
          <w:rFonts w:hint="eastAsia"/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会议：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</w:t>
      </w:r>
      <w:proofErr w:type="spellStart"/>
      <w:r w:rsidRPr="00C64828">
        <w:rPr>
          <w:sz w:val="20"/>
          <w:szCs w:val="20"/>
        </w:rPr>
        <w:t>Askari</w:t>
      </w:r>
      <w:proofErr w:type="spellEnd"/>
      <w:r w:rsidRPr="00C64828">
        <w:rPr>
          <w:sz w:val="20"/>
          <w:szCs w:val="20"/>
        </w:rPr>
        <w:t xml:space="preserve">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S.M.Mavadati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>
        <w:rPr>
          <w:sz w:val="20"/>
          <w:szCs w:val="20"/>
        </w:rPr>
        <w:t xml:space="preserve">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 xml:space="preserve">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>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 xml:space="preserve">Mohammad H. </w:t>
      </w:r>
      <w:proofErr w:type="spellStart"/>
      <w:r w:rsidR="0047714E" w:rsidRPr="00F12A13">
        <w:rPr>
          <w:sz w:val="20"/>
          <w:szCs w:val="20"/>
        </w:rPr>
        <w:t>Mahoor</w:t>
      </w:r>
      <w:proofErr w:type="spellEnd"/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Huanghao;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lastRenderedPageBreak/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 xml:space="preserve">Huanghao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proofErr w:type="gramStart"/>
      <w:r>
        <w:rPr>
          <w:sz w:val="20"/>
          <w:szCs w:val="20"/>
        </w:rPr>
        <w:t>”,</w:t>
      </w:r>
      <w:proofErr w:type="gramEnd"/>
      <w:r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50D4C548" w:rsidR="00D145DD" w:rsidRPr="001B3607" w:rsidRDefault="004C1FF7" w:rsidP="001B3607">
      <w:pPr>
        <w:spacing w:before="120" w:after="0" w:line="240" w:lineRule="auto"/>
        <w:rPr>
          <w:rFonts w:hint="eastAsia"/>
          <w:b/>
          <w:bCs/>
          <w:sz w:val="20"/>
          <w:szCs w:val="20"/>
          <w:lang w:eastAsia="zh-CN"/>
        </w:rPr>
      </w:pPr>
      <w:r>
        <w:rPr>
          <w:rFonts w:hint="eastAsia"/>
          <w:b/>
          <w:bCs/>
          <w:sz w:val="20"/>
          <w:szCs w:val="20"/>
          <w:lang w:eastAsia="zh-CN"/>
        </w:rPr>
        <w:t>海报与口述</w:t>
      </w:r>
      <w:r>
        <w:rPr>
          <w:b/>
          <w:bCs/>
          <w:sz w:val="20"/>
          <w:szCs w:val="20"/>
          <w:lang w:eastAsia="zh-CN"/>
        </w:rPr>
        <w:t>报告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Farzaneh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Askari</w:t>
      </w:r>
      <w:proofErr w:type="spellEnd"/>
      <w:r>
        <w:rPr>
          <w:sz w:val="20"/>
          <w:szCs w:val="20"/>
        </w:rPr>
        <w:t xml:space="preserve">, Mohammad H. </w:t>
      </w:r>
      <w:proofErr w:type="spellStart"/>
      <w:r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Huanghao Feng,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516AACC6" w:rsidR="00D145DD" w:rsidRPr="000C71E1" w:rsidRDefault="004C1FF7" w:rsidP="00D145DD">
      <w:pPr>
        <w:spacing w:after="0" w:line="240" w:lineRule="auto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受邀</w:t>
      </w:r>
      <w:r>
        <w:rPr>
          <w:b/>
          <w:szCs w:val="24"/>
          <w:lang w:eastAsia="zh-CN"/>
        </w:rPr>
        <w:t>演讲，作品展示及</w:t>
      </w:r>
      <w:r>
        <w:rPr>
          <w:rFonts w:hint="eastAsia"/>
          <w:b/>
          <w:szCs w:val="24"/>
          <w:lang w:eastAsia="zh-CN"/>
        </w:rPr>
        <w:t>电视</w:t>
      </w:r>
      <w:r>
        <w:rPr>
          <w:b/>
          <w:szCs w:val="24"/>
          <w:lang w:eastAsia="zh-CN"/>
        </w:rPr>
        <w:t>广播报道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</w:t>
      </w:r>
      <w:proofErr w:type="spellStart"/>
      <w:r w:rsidR="003809F9">
        <w:rPr>
          <w:sz w:val="20"/>
          <w:szCs w:val="20"/>
        </w:rPr>
        <w:t>Hojjat</w:t>
      </w:r>
      <w:proofErr w:type="spellEnd"/>
      <w:r w:rsidR="003809F9">
        <w:rPr>
          <w:sz w:val="20"/>
          <w:szCs w:val="20"/>
        </w:rPr>
        <w:t xml:space="preserve"> </w:t>
      </w:r>
      <w:proofErr w:type="spellStart"/>
      <w:r w:rsidR="003809F9">
        <w:rPr>
          <w:sz w:val="20"/>
          <w:szCs w:val="20"/>
        </w:rPr>
        <w:t>Abdollahi</w:t>
      </w:r>
      <w:proofErr w:type="spellEnd"/>
      <w:r w:rsidR="003809F9">
        <w:rPr>
          <w:sz w:val="20"/>
          <w:szCs w:val="20"/>
        </w:rPr>
        <w:t xml:space="preserve">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</w:t>
      </w:r>
      <w:proofErr w:type="spellStart"/>
      <w:r w:rsidR="00D3715A">
        <w:rPr>
          <w:sz w:val="20"/>
          <w:szCs w:val="20"/>
        </w:rPr>
        <w:t>Mahoor</w:t>
      </w:r>
      <w:proofErr w:type="spellEnd"/>
      <w:r w:rsidR="00D3715A">
        <w:rPr>
          <w:sz w:val="20"/>
          <w:szCs w:val="20"/>
        </w:rPr>
        <w:t xml:space="preserve">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</w:t>
      </w:r>
      <w:proofErr w:type="spellStart"/>
      <w:r w:rsidR="002D407B">
        <w:rPr>
          <w:sz w:val="20"/>
          <w:szCs w:val="20"/>
        </w:rPr>
        <w:t>Mahoor</w:t>
      </w:r>
      <w:proofErr w:type="spellEnd"/>
      <w:r w:rsidR="002D407B">
        <w:rPr>
          <w:sz w:val="20"/>
          <w:szCs w:val="20"/>
        </w:rPr>
        <w:t xml:space="preserve">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</w:t>
      </w:r>
      <w:proofErr w:type="spellStart"/>
      <w:r>
        <w:rPr>
          <w:sz w:val="20"/>
          <w:szCs w:val="20"/>
          <w:lang w:eastAsia="zh-CN"/>
        </w:rPr>
        <w:t>Mahoor</w:t>
      </w:r>
      <w:proofErr w:type="spellEnd"/>
      <w:r>
        <w:rPr>
          <w:sz w:val="20"/>
          <w:szCs w:val="20"/>
          <w:lang w:eastAsia="zh-CN"/>
        </w:rPr>
        <w:t xml:space="preserve">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</w:t>
      </w:r>
      <w:proofErr w:type="spellStart"/>
      <w:r w:rsidR="002D407B">
        <w:rPr>
          <w:sz w:val="20"/>
          <w:szCs w:val="20"/>
          <w:lang w:eastAsia="zh-CN"/>
        </w:rPr>
        <w:t>Mahoor</w:t>
      </w:r>
      <w:proofErr w:type="spellEnd"/>
      <w:r w:rsidR="002D407B">
        <w:rPr>
          <w:sz w:val="20"/>
          <w:szCs w:val="20"/>
          <w:lang w:eastAsia="zh-CN"/>
        </w:rPr>
        <w:t xml:space="preserve">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51C3E634" w:rsidR="000C71E1" w:rsidRDefault="004C1FF7" w:rsidP="00C1361A">
      <w:pPr>
        <w:spacing w:after="0" w:line="240" w:lineRule="auto"/>
        <w:rPr>
          <w:rFonts w:hint="eastAsia"/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工作经历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52EEC4AC" w:rsidR="00841E51" w:rsidRDefault="004C1FF7" w:rsidP="00C1361A">
      <w:pPr>
        <w:spacing w:after="0" w:line="240" w:lineRule="auto"/>
        <w:rPr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科研经验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</w:t>
      </w:r>
      <w:proofErr w:type="spellStart"/>
      <w:r w:rsidR="003D7F56">
        <w:rPr>
          <w:sz w:val="20"/>
          <w:szCs w:val="20"/>
        </w:rPr>
        <w:t>elophone</w:t>
      </w:r>
      <w:proofErr w:type="spellEnd"/>
      <w:r w:rsidR="003D7F56">
        <w:rPr>
          <w:sz w:val="20"/>
          <w:szCs w:val="20"/>
        </w:rPr>
        <w:t>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</w:t>
      </w:r>
      <w:proofErr w:type="spellStart"/>
      <w:r w:rsidR="007645DA" w:rsidRPr="00B76CD3">
        <w:rPr>
          <w:sz w:val="20"/>
          <w:szCs w:val="20"/>
        </w:rPr>
        <w:t>OpenCV</w:t>
      </w:r>
      <w:proofErr w:type="spellEnd"/>
      <w:r w:rsidR="007645DA" w:rsidRPr="00B76CD3">
        <w:rPr>
          <w:sz w:val="20"/>
          <w:szCs w:val="20"/>
        </w:rPr>
        <w:t xml:space="preserve">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 xml:space="preserve">Developed an automated method for emotion classification in children using </w:t>
      </w:r>
      <w:proofErr w:type="spellStart"/>
      <w:r w:rsidRPr="00B76CD3">
        <w:rPr>
          <w:sz w:val="20"/>
          <w:szCs w:val="20"/>
        </w:rPr>
        <w:t>electrodermal</w:t>
      </w:r>
      <w:proofErr w:type="spellEnd"/>
      <w:r w:rsidRPr="00B76CD3">
        <w:rPr>
          <w:sz w:val="20"/>
          <w:szCs w:val="20"/>
        </w:rPr>
        <w:t xml:space="preserve"> activity (EDA) signals. A continuous wavelet transform has been applied on the recorded EDA signals using the complex 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 xml:space="preserve"> (C-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>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</w:t>
      </w:r>
      <w:proofErr w:type="spellStart"/>
      <w:r w:rsidR="00943A6E" w:rsidRPr="00B76CD3">
        <w:rPr>
          <w:sz w:val="20"/>
          <w:szCs w:val="20"/>
        </w:rPr>
        <w:t>Marcov</w:t>
      </w:r>
      <w:proofErr w:type="spellEnd"/>
      <w:r w:rsidR="00943A6E" w:rsidRPr="00B76CD3">
        <w:rPr>
          <w:sz w:val="20"/>
          <w:szCs w:val="20"/>
        </w:rPr>
        <w:t xml:space="preserve">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 xml:space="preserve">he algorithm was implemented using C# and </w:t>
      </w:r>
      <w:proofErr w:type="spellStart"/>
      <w:r w:rsidR="003147FB" w:rsidRPr="004F5A22">
        <w:rPr>
          <w:sz w:val="20"/>
          <w:szCs w:val="20"/>
        </w:rPr>
        <w:t>OpenCV</w:t>
      </w:r>
      <w:proofErr w:type="spellEnd"/>
      <w:r w:rsidR="003147FB" w:rsidRPr="004F5A22">
        <w:rPr>
          <w:sz w:val="20"/>
          <w:szCs w:val="20"/>
        </w:rPr>
        <w:t>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241B93AE" w:rsidR="008C3AE2" w:rsidRDefault="004C1FF7" w:rsidP="00FC482E">
      <w:pPr>
        <w:spacing w:after="0" w:line="240" w:lineRule="auto"/>
        <w:rPr>
          <w:rFonts w:hint="eastAsia"/>
          <w:b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>教学经验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06115A00" w:rsidR="00F82E4A" w:rsidRPr="008E5512" w:rsidRDefault="001B6A4C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Introduction to VLSI C</w:t>
      </w:r>
      <w:r w:rsidR="0082039A">
        <w:rPr>
          <w:sz w:val="20"/>
          <w:szCs w:val="20"/>
        </w:rPr>
        <w:t>ircuits and System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lastRenderedPageBreak/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</w:t>
      </w:r>
      <w:proofErr w:type="spellStart"/>
      <w:r w:rsidR="000D18FC">
        <w:rPr>
          <w:sz w:val="20"/>
          <w:szCs w:val="20"/>
        </w:rPr>
        <w:t>VexIQ</w:t>
      </w:r>
      <w:proofErr w:type="spellEnd"/>
      <w:r w:rsidR="000D18FC">
        <w:rPr>
          <w:sz w:val="20"/>
          <w:szCs w:val="20"/>
        </w:rPr>
        <w:t xml:space="preserve">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02CBF459" w:rsidR="00E1486B" w:rsidRPr="00D671AB" w:rsidRDefault="004C1FF7" w:rsidP="00E1486B">
      <w:pPr>
        <w:spacing w:after="0" w:line="240" w:lineRule="auto"/>
        <w:rPr>
          <w:rFonts w:hint="eastAsia"/>
          <w:sz w:val="20"/>
          <w:szCs w:val="20"/>
          <w:lang w:eastAsia="zh-CN"/>
        </w:rPr>
      </w:pPr>
      <w:r>
        <w:rPr>
          <w:rFonts w:hint="eastAsia"/>
          <w:b/>
          <w:sz w:val="20"/>
          <w:szCs w:val="20"/>
          <w:lang w:eastAsia="zh-CN"/>
        </w:rPr>
        <w:t>技术经验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Assisted to develop an accessible database using </w:t>
      </w:r>
      <w:proofErr w:type="spellStart"/>
      <w:r w:rsidRPr="00E1486B">
        <w:rPr>
          <w:sz w:val="20"/>
          <w:szCs w:val="20"/>
        </w:rPr>
        <w:t>mySQL</w:t>
      </w:r>
      <w:proofErr w:type="spellEnd"/>
      <w:r w:rsidRPr="00E1486B">
        <w:rPr>
          <w:sz w:val="20"/>
          <w:szCs w:val="20"/>
        </w:rPr>
        <w:t>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115AC38F" w:rsidR="009B3F6C" w:rsidRDefault="004C1FF7" w:rsidP="00521D03">
      <w:pPr>
        <w:spacing w:after="0" w:line="240" w:lineRule="auto"/>
        <w:rPr>
          <w:rFonts w:hint="eastAsia"/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荣誉与</w:t>
      </w:r>
      <w:r>
        <w:rPr>
          <w:b/>
          <w:szCs w:val="24"/>
          <w:lang w:eastAsia="zh-CN"/>
        </w:rPr>
        <w:t>奖励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2014 Boulder Badminton Tournament Men’s Single Group </w:t>
      </w:r>
      <w:proofErr w:type="gramStart"/>
      <w:r>
        <w:rPr>
          <w:sz w:val="20"/>
          <w:szCs w:val="20"/>
        </w:rPr>
        <w:t>A</w:t>
      </w:r>
      <w:proofErr w:type="gramEnd"/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lastRenderedPageBreak/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0F1E945A" w:rsidR="00521D03" w:rsidRPr="0003337A" w:rsidRDefault="004C1FF7" w:rsidP="00521D03">
      <w:pPr>
        <w:spacing w:after="0" w:line="240" w:lineRule="auto"/>
        <w:rPr>
          <w:rFonts w:hint="eastAsia"/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其他技能</w:t>
      </w:r>
      <w:r>
        <w:rPr>
          <w:b/>
          <w:szCs w:val="24"/>
          <w:lang w:eastAsia="zh-CN"/>
        </w:rPr>
        <w:t>与艺术表演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</w:t>
      </w:r>
      <w:proofErr w:type="spellStart"/>
      <w:r>
        <w:rPr>
          <w:sz w:val="20"/>
          <w:szCs w:val="20"/>
        </w:rPr>
        <w:t>Unpluged</w:t>
      </w:r>
      <w:proofErr w:type="spellEnd"/>
      <w:r>
        <w:rPr>
          <w:sz w:val="20"/>
          <w:szCs w:val="20"/>
        </w:rPr>
        <w:t>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proofErr w:type="spellStart"/>
      <w:r w:rsidR="007537FF">
        <w:rPr>
          <w:sz w:val="20"/>
          <w:szCs w:val="20"/>
        </w:rPr>
        <w:t>FingerStyle</w:t>
      </w:r>
      <w:proofErr w:type="spellEnd"/>
      <w:r w:rsidR="007537FF">
        <w:rPr>
          <w:sz w:val="20"/>
          <w:szCs w:val="20"/>
        </w:rPr>
        <w:t xml:space="preserve">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3204F26E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Prof. Amin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Khodaei</w:t>
      </w:r>
      <w:proofErr w:type="spellEnd"/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C74CD1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C74CD1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C74CD1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 xml:space="preserve">Axel </w:t>
      </w:r>
      <w:proofErr w:type="spellStart"/>
      <w:r w:rsidRPr="006C4C49">
        <w:rPr>
          <w:rFonts w:hint="eastAsia"/>
          <w:sz w:val="20"/>
          <w:szCs w:val="20"/>
          <w:lang w:eastAsia="zh-CN"/>
        </w:rPr>
        <w:t>Reitzig</w:t>
      </w:r>
      <w:proofErr w:type="spellEnd"/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Robotics and Computer Science Coordinator,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6B846392" w14:textId="49E1B88C" w:rsidR="00BD7BF9" w:rsidRDefault="00C74CD1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Assistant Superintendent,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30828FEA" w14:textId="720EAAEF" w:rsidR="006C4C49" w:rsidRDefault="00C74CD1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</w:t>
      </w:r>
      <w:proofErr w:type="gramStart"/>
      <w:r w:rsidRPr="002A1F9D">
        <w:rPr>
          <w:rStyle w:val="Hyperlink"/>
          <w:color w:val="auto"/>
          <w:sz w:val="20"/>
          <w:szCs w:val="20"/>
          <w:u w:val="none"/>
        </w:rPr>
        <w:t>The</w:t>
      </w:r>
      <w:proofErr w:type="gramEnd"/>
      <w:r w:rsidRPr="002A1F9D">
        <w:rPr>
          <w:rStyle w:val="Hyperlink"/>
          <w:color w:val="auto"/>
          <w:sz w:val="20"/>
          <w:szCs w:val="20"/>
          <w:u w:val="none"/>
        </w:rPr>
        <w:t xml:space="preserve">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</w:t>
      </w:r>
      <w:proofErr w:type="spellStart"/>
      <w:r w:rsidRPr="002A1F9D">
        <w:rPr>
          <w:rStyle w:val="Hyperlink"/>
          <w:color w:val="auto"/>
          <w:sz w:val="20"/>
          <w:szCs w:val="20"/>
          <w:u w:val="none"/>
        </w:rPr>
        <w:t>Vrain</w:t>
      </w:r>
      <w:proofErr w:type="spellEnd"/>
      <w:r w:rsidRPr="002A1F9D">
        <w:rPr>
          <w:rStyle w:val="Hyperlink"/>
          <w:color w:val="auto"/>
          <w:sz w:val="20"/>
          <w:szCs w:val="20"/>
          <w:u w:val="none"/>
        </w:rPr>
        <w:t xml:space="preserve">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C74CD1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1E557" w14:textId="77777777" w:rsidR="00C74CD1" w:rsidRDefault="00C74CD1" w:rsidP="00451A07">
      <w:pPr>
        <w:spacing w:after="0" w:line="240" w:lineRule="auto"/>
      </w:pPr>
      <w:r>
        <w:separator/>
      </w:r>
    </w:p>
  </w:endnote>
  <w:endnote w:type="continuationSeparator" w:id="0">
    <w:p w14:paraId="3E9DA557" w14:textId="77777777" w:rsidR="00C74CD1" w:rsidRDefault="00C74CD1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96A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87AA7" w14:textId="77777777" w:rsidR="00C74CD1" w:rsidRDefault="00C74CD1" w:rsidP="00451A07">
      <w:pPr>
        <w:spacing w:after="0" w:line="240" w:lineRule="auto"/>
      </w:pPr>
      <w:r>
        <w:separator/>
      </w:r>
    </w:p>
  </w:footnote>
  <w:footnote w:type="continuationSeparator" w:id="0">
    <w:p w14:paraId="6D5E0D24" w14:textId="77777777" w:rsidR="00C74CD1" w:rsidRDefault="00C74CD1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kxrAZ203iE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6A4C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2EC3"/>
    <w:rsid w:val="002E650E"/>
    <w:rsid w:val="002F1A85"/>
    <w:rsid w:val="002F3BEE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1FF7"/>
    <w:rsid w:val="004C3291"/>
    <w:rsid w:val="004C482C"/>
    <w:rsid w:val="004C5F01"/>
    <w:rsid w:val="004D15CE"/>
    <w:rsid w:val="004D6624"/>
    <w:rsid w:val="004D763D"/>
    <w:rsid w:val="004E3746"/>
    <w:rsid w:val="004E3E3A"/>
    <w:rsid w:val="004F3772"/>
    <w:rsid w:val="004F5A22"/>
    <w:rsid w:val="004F7C73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C6AA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6E7F93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1FD3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039A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42090"/>
    <w:rsid w:val="00C428AE"/>
    <w:rsid w:val="00C43830"/>
    <w:rsid w:val="00C61875"/>
    <w:rsid w:val="00C64828"/>
    <w:rsid w:val="00C65CF4"/>
    <w:rsid w:val="00C7196A"/>
    <w:rsid w:val="00C719D9"/>
    <w:rsid w:val="00C72348"/>
    <w:rsid w:val="00C73DA2"/>
    <w:rsid w:val="00C74CD1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4FD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5FD5C-F56B-4EEA-BD3C-9D31E5C4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15314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Huanghao Feng</cp:lastModifiedBy>
  <cp:revision>8</cp:revision>
  <cp:lastPrinted>2019-09-19T22:30:00Z</cp:lastPrinted>
  <dcterms:created xsi:type="dcterms:W3CDTF">2019-09-26T21:10:00Z</dcterms:created>
  <dcterms:modified xsi:type="dcterms:W3CDTF">2019-09-27T00:22:00Z</dcterms:modified>
</cp:coreProperties>
</file>