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Calibri" w:hAnsi="Calibri" w:eastAsia="Noto Sans CJK SC"/>
          <w:b/>
          <w:color w:val="2E74B5"/>
          <w:sz w:val="18"/>
        </w:rPr>
        <w:t>PHYSICAL AI / INTEGRATION BLUEPRINT</w:t>
      </w:r>
    </w:p>
    <w:p>
      <w:pPr>
        <w:pStyle w:val="Title"/>
      </w:pPr>
      <w:r>
        <w:rPr>
          <w:rFonts w:ascii="Calibri" w:hAnsi="Calibri" w:eastAsia="Noto Sans CJK SC"/>
          <w:b/>
          <w:color w:val="102A43"/>
        </w:rPr>
        <w:t>NEC × NVIDIA</w:t>
        <w:br/>
        <w:t>工业机器人融合架构蓝图</w:t>
      </w:r>
    </w:p>
    <w:p>
      <w:pPr>
        <w:pStyle w:val="Subtitle"/>
      </w:pPr>
      <w:r>
        <w:rPr>
          <w:rFonts w:ascii="Calibri" w:hAnsi="Calibri" w:eastAsia="Noto Sans CJK SC"/>
        </w:rPr>
        <w:t>从 PDDL 符号规划到 Cosmos 3 / GR00T / WAM，再到 Isaac Sim、cuMotion 与真机数据闭环</w:t>
      </w:r>
    </w:p>
    <w:p>
      <w:pPr>
        <w:spacing w:before="240" w:after="24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480810"/>
            <wp:docPr id="1" name="Picture 1" title="融合架构分层图" descr="五层架构：TMC 治理，NEC 符号约束，NVIDIA 世界动作智能，几何与训练，执行与独立安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/>
        <w:jc w:val="left"/>
      </w:pPr>
      <w:r>
        <w:rPr>
          <w:rFonts w:ascii="Calibri" w:hAnsi="Calibri" w:eastAsia="Noto Sans CJK SC"/>
          <w:color w:val="52606D"/>
          <w:sz w:val="18"/>
        </w:rPr>
        <w:t>版本：2026-08-19  |  用途：内部架构评审 / PoC 立项 / 合作边界澄清</w:t>
      </w:r>
    </w:p>
    <w:p>
      <w:r>
        <w:rPr>
          <w:rFonts w:ascii="Calibri" w:hAnsi="Calibri" w:eastAsia="Noto Sans CJK SC"/>
          <w:b/>
          <w:color w:val="B23A48"/>
          <w:sz w:val="19"/>
        </w:rPr>
        <w:t>文档原则：公开事实与建议方案严格分栏；安全责任不交给生成式模型。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执行摘要</w:t>
      </w:r>
    </w:p>
    <w:p>
      <w:pPr>
        <w:spacing w:before="100" w:after="160"/>
        <w:ind w:left="115" w:right="115"/>
        <w:shd w:fill="EAF2F8"/>
        <w:pBdr>
          <w:left w:val="single" w:sz="18" w:space="7" w:color="174A7E"/>
        </w:pBdr>
      </w:pPr>
      <w:r>
        <w:rPr>
          <w:rFonts w:ascii="Calibri" w:hAnsi="Calibri" w:eastAsia="Noto Sans CJK SC"/>
          <w:b/>
          <w:color w:val="174A7E"/>
          <w:sz w:val="21"/>
        </w:rPr>
        <w:t>一句话结论：最佳组合不是“NEC 的 PDDL 被 NVIDIA 替代”，而是 NEC 负责可解释的任务/约束监督，NVIDIA 负责世界—动作学习、仿真与几何控制，TMC 持有任务定义、数据、阈值和最终安全验收。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我们讨论的核心问题，本质上是把四种不同能力放回各自正确的位置：PDDL 描述离散规则和目标；Fast Downward 等规划器求解离散动作序列；cuMotion 生成连续、无碰撞的关节轨迹；Cosmos 3、GR00T 与 WAM 从视觉和动作数据中学习策略与未来。它们互补，而不是同层替换。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对 NEC 能力的判断必须保持克制：截至 2026 年 8 月 19 日，NEC 公开资料显示其重点包括人类感知世界模型、复杂场景路径规划、现场视频理解和企业系统集成，但没有公开证据证明 NEC 拥有一套独占的 PDDL 语言或专属 Fast Downward 类求解器。因此，本报告中的“NEC/PDDL 层”是建议的透明参考架构，而不是对 NEC 产品实现的事实断言。[1][2][3]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项目真正的技术护城河，是用少量、高质量、严格同步的真机数据，建立可持续的训练—验证—部署—难例回收闭环。强化学习不是每个阶段的必经终点：多数 VLA/WAM 适配首先应采用监督微调、行为克隆、DAgger 和结果估计器训练；RL 适合留在仿真或局部接触控制环节。</w:t>
      </w:r>
    </w:p>
    <w:p>
      <w:pPr>
        <w:pStyle w:val="Heading2"/>
        <w:keepNext/>
      </w:pPr>
      <w:r>
        <w:rPr>
          <w:rFonts w:ascii="Calibri" w:hAnsi="Calibri" w:eastAsia="Noto Sans CJK SC"/>
        </w:rPr>
        <w:t>关键决策（建议直接用于立项会）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050"/>
        <w:gridCol w:w="4560"/>
      </w:tblGrid>
      <w:tr>
        <w:trPr>
          <w:tblHeader w:val="true"/>
          <w:cantSplit/>
        </w:trP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决策项</w:t>
            </w:r>
          </w:p>
        </w:tc>
        <w:tc>
          <w:tcPr>
            <w:tcW w:type="dxa" w:w="3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建议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原因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符号任务层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保留 PDDL/等价 DSL + 通用规划器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可解释、可审计、便于显式工业约束与异常重规划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几何运动层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自由空间优先 cuMotion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快速碰撞检测与连续轨迹优化；不承担长时序任务逻辑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策略主干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近期用 GR00T N1.7 做可落地基线；预留 N2/Cosmos-WAM 适配器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避免把尚未普遍可用的预览模型作为交付前提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未来预演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Cosmos 前向动力学 + 独立结果估计器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把预测未来视频转成可比较的成功/风险分数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硬安全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UR Safety / Safety PLC 独立否决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生成式模型与概率性 critic 不具备安全证明资格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数据资产</w:t>
            </w:r>
          </w:p>
        </w:tc>
        <w:tc>
          <w:tcPr>
            <w:tcW w:type="dxa" w:w="3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由 TMC 统一持有 schema、版本、标签和回放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模型可换，现实数据与验收口径不可丢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阅读导航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1. 术语与事实边界：纠正 PDDL、Fast Downward、cuMotion 与 NEC 能力的混淆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2. 技术边界：Cosmos 3、GR00T/WAM、Isaac Sim/Lab 分别做什么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3. 目标架构：在线输入输出、结果检查器与责任分配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4. 数据与训练：少量真机数据、微调、仿真和强化学习如何组合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5. 落地方案：算力/硬件部署、15 个月路线图、KPI 与风险控制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1｜先把概念放对位置</w:t>
      </w:r>
    </w:p>
    <w:p>
      <w:pPr>
        <w:pStyle w:val="Heading2"/>
        <w:keepNext/>
      </w:pPr>
      <w:r>
        <w:rPr>
          <w:rFonts w:ascii="Calibri" w:hAnsi="Calibri" w:eastAsia="Noto Sans CJK SC"/>
        </w:rPr>
        <w:t>1.1 PDDL 是“符号操作模型”，不是完整世界模型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PDDL（Planning Domain Definition Language）用类型、谓词、动作、前置条件和效果描述一个离散任务世界。domain.pddl 记录“允许做什么及会改变什么”，problem.pddl 记录“当前有什么、初始状态是什么、目标是什么”。规划器读取二者，寻找一个能从初始状态走到目标状态的动作序列。</w:t>
      </w:r>
    </w:p>
    <w:p>
      <w:pPr>
        <w:spacing w:before="100" w:after="160"/>
        <w:ind w:left="115" w:right="115"/>
        <w:shd w:fill="FFF3E6"/>
        <w:pBdr>
          <w:left w:val="single" w:sz="18" w:space="7" w:color="D9822B"/>
        </w:pBdr>
      </w:pPr>
      <w:r>
        <w:rPr>
          <w:rFonts w:ascii="Calibri" w:hAnsi="Calibri" w:eastAsia="Noto Sans CJK SC"/>
          <w:b/>
          <w:color w:val="D9822B"/>
          <w:sz w:val="21"/>
        </w:rPr>
        <w:t>准确说法：PDDL 可以承担“世界模型中的符号规则层”，但不能替代视觉感知、连续物理、摩擦接触、对象材质和未见场景泛化。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900"/>
        <w:gridCol w:w="2700"/>
        <w:gridCol w:w="226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层</w:t>
            </w:r>
          </w:p>
        </w:tc>
        <w:tc>
          <w:tcPr>
            <w:tcW w:type="dxa" w:w="2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典型问题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表示/算法</w:t>
            </w:r>
          </w:p>
        </w:tc>
        <w:tc>
          <w:tcPr>
            <w:tcW w:type="dxa" w:w="2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输出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符号任务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先抓还是先开门？资源是否冲突？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PDDL / 约束 DSL + 规划器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离散技能序列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感知状态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物体在哪里？人是否进入区域？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Isaac ROS / VLM / 3D 感知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测量事实、置信度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学习型动力学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这个动作可能造成怎样的未来？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Cosmos / WAM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概率性未来、动作块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连续运动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关节怎样无碰撞到达目标？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cuMotion / 控制器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轨迹、速度、加速度</w:t>
            </w:r>
          </w:p>
        </w:tc>
      </w:tr>
      <w:tr>
        <w:trPr>
          <w:cantSplit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硬安全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是否违反速度、区域、力矩限制？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安全 PLC / UR Safety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放行或否决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1.2 Fast Downward 是求解器，不是 NEC 私有能力</w:t>
      </w:r>
    </w:p>
    <w:p>
      <w:pPr>
        <w:spacing w:line="20" w:lineRule="exact" w:after="40"/>
      </w:pPr>
      <w:r>
        <w:rPr>
          <w:rFonts w:ascii="Calibri" w:hAnsi="Calibri" w:eastAsia="Noto Sans CJK SC"/>
          <w:sz w:val="8"/>
        </w:rPr>
        <w:t xml:space="preserve"> 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Fast Downward 是开源、领域无关的经典规划系统。它把 PDDL 问题转换为内部 SAS+ 表示，然后通过启发式搜索求解。官方文档显示其重点支持经典 PDDL 子集和动作代价；它不是时间/数值/连续运动规划的万能求解器。[14][15]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因此，“NEC 最强的是它的 PDDL 独自求解器”目前不能作为事实写进合作方案。更稳妥的表述是：若 NEC 在项目中负责符号规划、工业约束、系统集成和异常重规划，那么其价值来自工程化的约束模型、状态适配、运营知识与可靠性治理，而不是来自 PDDL 语言本身。</w:t>
      </w:r>
    </w:p>
    <w:p>
      <w:pPr>
        <w:pStyle w:val="Heading2"/>
        <w:keepNext/>
      </w:pPr>
      <w:r>
        <w:rPr>
          <w:rFonts w:ascii="Calibri" w:hAnsi="Calibri" w:eastAsia="Noto Sans CJK SC"/>
        </w:rPr>
        <w:t>1.3 cuMotion 不能替代 Fast Downward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cuMotion 面向连续几何空间：给定机器人模型、环境障碍物和末端目标位姿，生成平滑、无碰撞、满足关节限制的轨迹；它可与 MoveIt 2、深度相机和 nvblox 等组件连接。[12][13] Fast Downward 则面向离散任务空间：决定“先做什么、后做什么”。两者的输入、输出和失败模式完全不同。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210562"/>
            <wp:docPr id="2" name="Picture 2" title="图 1" descr="四列图展示 PDDL 负责符号表示，Fast Downward 负责离散任务求解，WAM/GR00T 负责学习型动作策略，cuMotion 负责连续无碰撞轨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component_boundar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1｜PDDL、Fast Downward、WAM/GR00T 与 cuMotion 的职责边界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06440" cy="2771687"/>
            <wp:docPr id="3" name="Picture 3" title="图 2" descr="热力图用一到五分比较 PDDL 加规划器、cuMotion、Isaac Sim/Lab、WAM/GR00T 在确定性、几何精度、物理可控性、语义泛化、在线适应和安全证明方面的相对强弱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qualitative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1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2｜四类系统的能力边界对比（定性架构判断）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2｜NEC 与 NVIDIA：公开事实、合理推断与建议方案</w:t>
      </w:r>
    </w:p>
    <w:p>
      <w:pPr>
        <w:pStyle w:val="Heading2"/>
        <w:keepNext/>
      </w:pPr>
      <w:r>
        <w:rPr>
          <w:rFonts w:ascii="Calibri" w:hAnsi="Calibri" w:eastAsia="Noto Sans CJK SC"/>
        </w:rPr>
        <w:t>2.1 NEC 的公开强项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NEC 2026 年公开的人类感知世界模型强调预测人的运动与压力，并据此调整机器人路径和速度；2025 年公开的 AI 路径规划技术则聚焦障碍密集环境中的移动效率，内部演示报告最高可缩短约 50% 移动时间。NEC 也公开了利用视频与生成式 AI 改善现场作业的方向。[1][2][3]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这些材料支持的判断是：NEC 更适合承担“工业情境理解 + 约束编排 + 现场系统集成 + 异常治理”。它与 NVIDIA 的关系不应设计为重复构建基础模型，而应把 NEC 的人/场景认知结果、工业规则与运营知识，转换为对策略候选的约束、代价和重规划触发条件。</w:t>
      </w:r>
    </w:p>
    <w:p>
      <w:pPr>
        <w:pStyle w:val="Heading2"/>
        <w:keepNext/>
      </w:pPr>
      <w:r>
        <w:rPr>
          <w:rFonts w:ascii="Calibri" w:hAnsi="Calibri" w:eastAsia="Noto Sans CJK SC"/>
        </w:rPr>
        <w:t>2.2 三类表述必须分开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4850"/>
        <w:gridCol w:w="3060"/>
      </w:tblGrid>
      <w:tr>
        <w:trPr>
          <w:tblHeader w:val="true"/>
          <w:cantSplit/>
        </w:trPr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类别</w:t>
            </w:r>
          </w:p>
        </w:tc>
        <w:tc>
          <w:tcPr>
            <w:tcW w:type="dxa" w:w="4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可写入方案的表述</w:t>
            </w:r>
          </w:p>
        </w:tc>
        <w:tc>
          <w:tcPr>
            <w:tcW w:type="dxa" w:w="30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处理方式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公开确认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NEC 公开了人类感知世界模型、AI 路径规划和现场视频理解方向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引用官方资料；按已确认能力评估接口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合理推断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NEC 可把这些能力工程化为约束监督与异常编排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标记为合作假设；要求 PoC 验证接口和性能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本报告建议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使用 PDDL/等价 DSL 与通用规划器承载显式规则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由 TMC 决定；避免绑定单一供应商实现</w:t>
            </w:r>
          </w:p>
        </w:tc>
      </w:tr>
      <w:tr>
        <w:trPr>
          <w:cantSplit/>
        </w:trPr>
        <w:tc>
          <w:tcPr>
            <w:tcW w:type="dxa" w:w="14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尚未证实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NEC 有独占 PDDL 求解器，或实际内部使用 Fast Downward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不得当作采购依据；要求 NEC 提供技术披露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2.3 推荐的责任分层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480810"/>
            <wp:docPr id="4" name="Picture 4" title="图 3" descr="五层架构从上到下依次为 TMC 治理，NEC 符号编排，NVIDIA 世界动作智能，几何与训练，执行与独立安全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_landsc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0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3｜TMC、NEC、NVIDIA 与硬安全的五层责任架构</w:t>
      </w:r>
    </w:p>
    <w:p>
      <w:pPr>
        <w:spacing w:before="100" w:after="160"/>
        <w:ind w:left="115" w:right="115"/>
        <w:shd w:fill="E7F4EF"/>
        <w:pBdr>
          <w:left w:val="single" w:sz="18" w:space="7" w:color="2E7D6B"/>
        </w:pBdr>
      </w:pPr>
      <w:r>
        <w:rPr>
          <w:rFonts w:ascii="Calibri" w:hAnsi="Calibri" w:eastAsia="Noto Sans CJK SC"/>
          <w:b/>
          <w:color w:val="2E7D6B"/>
          <w:sz w:val="21"/>
        </w:rPr>
        <w:t>边界原则：NEC 可以拥有“是否允许执行”的约束监督逻辑；NVIDIA 可以提供“执行后可能发生什么”的预测和评分；TMC 必须拥有最终任务定义、阈值、验证集和安全签字。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3｜Cosmos 3、GR00T 与 WAM 的具体位置</w:t>
      </w:r>
    </w:p>
    <w:p>
      <w:pPr>
        <w:pStyle w:val="Heading2"/>
        <w:keepNext/>
      </w:pPr>
      <w:r>
        <w:rPr>
          <w:rFonts w:ascii="Calibri" w:hAnsi="Calibri" w:eastAsia="Noto Sans CJK SC"/>
        </w:rPr>
        <w:t>3.1 Cosmos 3 不是 PDDL 的替代品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Cosmos 3 是统一的世界—动作模型体系，公开技术材料将其描述为组合自回归视觉语言推理与扩散式生成的 Mixture-of-Transformers 架构，并把动作纳入模型模态。其关键价值是：在给定观测和候选动作时生成未来视频，或从视频/任务推断动作，从而把“看懂世界、选择动作、预演后果”连接起来。[4][5][6]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2981955"/>
            <wp:docPr id="5" name="Picture 5" title="图 4" descr="三个泳道解释前向动力学从观测和动作预测未来视频，逆向动力学从示范视频推断动作，策略模式同时输出动作块和未来视频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cosmos_mod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8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4｜Cosmos 3 的前向、逆向与策略/WAM 三种 I/O 模式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工程上要避免把 Cosmos 当成权威数据库：它学习的是概率性动力学先验，可能在分布外场景中出现幻觉或过度自信。由传感器测得的门状态、区域占用、急停状态等事实，才可以成为 PDDL 硬谓词；Cosmos 预测应以软代价、风险分数或候选排序进入决策。</w:t>
      </w:r>
    </w:p>
    <w:p>
      <w:pPr>
        <w:pStyle w:val="Heading2"/>
        <w:keepNext/>
      </w:pPr>
      <w:r>
        <w:rPr>
          <w:rFonts w:ascii="Calibri" w:hAnsi="Calibri" w:eastAsia="Noto Sans CJK SC"/>
        </w:rPr>
        <w:t>3.2 GR00T N1.7、GR00T N2 与 Cosmos-WAM 的关系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GR00T N1.7 是当前公开、可下载并支持自定义机器人本体微调的 VLA 基线，公开仓库给出了数据转换、训练和部署流程。[7] GR00T N2 在 2026 年 3 月被预告为基于 DreamZero 世界动作模型架构的新一代模型，并计划于 2026 年内推进；截至本文日期，不应把它默认为所有用户都能直接获得的稳定生产依赖。[8][9]</w:t>
      </w:r>
    </w:p>
    <w:p>
      <w:pPr>
        <w:spacing w:before="100" w:after="160"/>
        <w:ind w:left="115" w:right="115"/>
        <w:shd w:fill="FBEAEC"/>
        <w:pBdr>
          <w:left w:val="single" w:sz="18" w:space="7" w:color="B23A48"/>
        </w:pBdr>
      </w:pPr>
      <w:r>
        <w:rPr>
          <w:rFonts w:ascii="Calibri" w:hAnsi="Calibri" w:eastAsia="Noto Sans CJK SC"/>
          <w:b/>
          <w:color w:val="B23A48"/>
          <w:sz w:val="21"/>
        </w:rPr>
        <w:t>不要把“GR00T N2”和“WAM”画成两个完全独立、串联的大模型：N2 本身就是一种 WAM 路线。工程上应选择一个主策略骨干，并通过统一动作/观测接口保留替换能力。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2700"/>
        <w:gridCol w:w="24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选项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近期角色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优势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主要不确定性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GR00T N1.7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自定义本体 SFT / 现场基线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公开工具链、可实际训练与评测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长时序与复杂接触仍需分层控制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GR00T N2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早期接入/后续迁移候选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世界动作联合建模、跨本体迁移方向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可获得性、最终接口、算力和稳定性待确认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Cosmos 3 Policy/WAM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前向预演、策略候选、结果估计配套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统一视觉推理、生成与动作建模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需要任务适配；未来视频不是直接的安全结论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3.3 高自由度灵巧手应采用分层动作空间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公开动作条件通常不能直接等价于“任何 UR 机械臂 + 任意高自由度灵巧手开箱即用”。对于最终选定的灵巧手，建议把控制分成三层：符号层选择抓取/重抓/插入等技能；WAM/GR00T 输出腕部动作块与技能潜变量；手部本地策略利用触觉/力信号，以更高频率输出各手指命令。这样既控制动作维数，也隔离高频接触控制的不稳定性。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4｜Isaac Sim 与 WAM 并不冲突</w:t>
      </w:r>
    </w:p>
    <w:p>
      <w:pPr>
        <w:pStyle w:val="Heading2"/>
        <w:keepNext/>
      </w:pPr>
      <w:r>
        <w:rPr>
          <w:rFonts w:ascii="Calibri" w:hAnsi="Calibri" w:eastAsia="Noto Sans CJK SC"/>
        </w:rPr>
        <w:t>4.1 二者都“预测未来”，但真值机制不同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Isaac Sim/Lab 依赖显式几何、质量、摩擦、关节与物理求解器，适合数字孪生、合成数据、域随机化、闭环回归和可复现实验。[10][16] WAM 则从数据中学习隐含动力学与语义规律，擅长覆盖难以显式建模的视觉变化、对象差异和任务语义。两者重叠的是表面功能，互补的是误差结构。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432067"/>
            <wp:docPr id="6" name="Picture 6" title="图 5" descr="左右两块对比显式物理仿真与学习型世界动作模型，并用双向箭头表示离线数据、校准、策略和回归测试的闭环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im_wam_compl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3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5｜Isaac Sim/Lab 与 WAM 的互补关系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最好的组合是：用真机数据校准仿真；用仿真产生可控、大规模、带真值的数据；用 Cosmos Transfer 等工具增强视觉域；再用真机难例校准策略和结果估计器。Isaac Sim 的 CosmosWriter 已公开提供从 RGB、深度、分割和边缘等合成模态到 Cosmos Transfer 数据增强的桥梁。[11]</w:t>
      </w:r>
    </w:p>
    <w:p>
      <w:pPr>
        <w:spacing w:before="100" w:after="160"/>
        <w:ind w:left="115" w:right="115"/>
        <w:shd w:fill="FFF3E6"/>
        <w:pBdr>
          <w:left w:val="single" w:sz="18" w:space="7" w:color="D9822B"/>
        </w:pBdr>
      </w:pPr>
      <w:r>
        <w:rPr>
          <w:rFonts w:ascii="Calibri" w:hAnsi="Calibri" w:eastAsia="Noto Sans CJK SC"/>
          <w:b/>
          <w:color w:val="D9822B"/>
          <w:sz w:val="21"/>
        </w:rPr>
        <w:t>在线高频控制中不应让 Isaac Sim 与 WAM 争夺同一个“世界真相”。Isaac Sim 主要留在离线训练/验证与低频假设测试；WAM 负责运行时候选生成和近似预演；实测传感器与安全控制器保持最高事实优先级。</w:t>
      </w:r>
    </w:p>
    <w:p>
      <w:pPr>
        <w:pStyle w:val="Heading2"/>
        <w:keepNext/>
      </w:pPr>
      <w:r>
        <w:rPr>
          <w:rFonts w:ascii="Calibri" w:hAnsi="Calibri" w:eastAsia="Noto Sans CJK SC"/>
        </w:rPr>
        <w:t>4.2 推荐的离线—在线分工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600"/>
        <w:gridCol w:w="2700"/>
        <w:gridCol w:w="23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时间尺度</w:t>
            </w:r>
          </w:p>
        </w:tc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主组件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输入</w:t>
            </w:r>
          </w:p>
        </w:tc>
        <w:tc>
          <w:tcPr>
            <w:tcW w:type="dxa" w:w="2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输出/决策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离线：小时—天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Isaac Sim/Lab + 数据管线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CAD、机器人模型、标定、真机日志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合成轨迹、随机化数据、策略回归报告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在线：秒级规划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NEC 任务/约束监督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目标、测量事实、候选风险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技能序列、批准/换候选/重规划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在线：10–500 ms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WAM/GR00T + cuMotion + 局部控制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视觉、状态、技能目标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动作块、轨迹、手指命令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硬实时：控制周期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UR/手部控制器 + Safety PLC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关节、力矩、安全输入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伺服、限速、停机、硬否决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5｜目标在线流程：每一步输入、输出和责任人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166360" cy="6174057"/>
            <wp:docPr id="7" name="Picture 7" title="图 6" descr="从 MES 任务和多模态传感器开始，经 NEC 符号规划、cuMotion 或 GR00T/WAM、Cosmos 未来预测、结果估计、NEC 约束监督、UR Safety/Safety PLC 后执行，并将新观测反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untime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174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6｜端到端在线决策与执行闭环</w:t>
      </w:r>
    </w:p>
    <w:p>
      <w:pPr>
        <w:pStyle w:val="Heading2"/>
        <w:keepNext/>
      </w:pPr>
      <w:r>
        <w:rPr>
          <w:rFonts w:ascii="Calibri" w:hAnsi="Calibri" w:eastAsia="Noto Sans CJK SC"/>
        </w:rPr>
        <w:t>5.1 逐步 I/O 契约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1450"/>
        <w:gridCol w:w="2450"/>
        <w:gridCol w:w="2460"/>
        <w:gridCol w:w="2500"/>
      </w:tblGrid>
      <w:tr>
        <w:trPr>
          <w:tblHeader w:val="true"/>
          <w:cantSplit/>
        </w:trPr>
        <w:tc>
          <w:tcPr>
            <w:tcW w:type="dxa" w:w="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5"/>
              </w:rPr>
              <w:t>步</w:t>
            </w:r>
          </w:p>
        </w:tc>
        <w:tc>
          <w:tcPr>
            <w:tcW w:type="dxa" w:w="1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5"/>
              </w:rPr>
              <w:t>责任主体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5"/>
              </w:rPr>
              <w:t>输入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5"/>
              </w:rPr>
              <w:t>输出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5"/>
              </w:rPr>
              <w:t>失败时动作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TMC/MES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工单、目标、物料、质量条件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标准化任务对象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拒绝缺字段任务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2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Isaac ROS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RGB-D、3D、触觉、力、UR/手状态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位姿、占用、对象/人状态及置信度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降级、重感知、请求人工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3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NEC 状态适配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测量状态、工业规则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PDDL 硬谓词 + 软风险上下文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冲突检查、未知状态显式化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4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NEC 任务规划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domain、problem、资源/工艺约束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合法技能候选及顺序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换规划器配置或重规划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5A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cuMotion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机器人/障碍模型、目标位姿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无碰撞关节轨迹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换抓取位姿/请求重规划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5B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GR00T/WAM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观测、任务、技能上下文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动作块/技能潜变量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OOD 拒绝或回退示教技能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6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Cosmos 前向模型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观测 + 候选动作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未来视频/状态近似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输出不确定性；不直接放行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7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结果估计器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预测未来 + 任务标准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成功/掉落/碰撞/OOD 分数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低置信度转人工或换候选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8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NEC 约束监督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硬规则 + 软分数 + 当前状态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批准/换候选/重规划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触发异常流程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9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UR Safety/PLC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轨迹、速度、区域、力矩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放行或硬否决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安全停机与事件记录</w:t>
            </w:r>
          </w:p>
        </w:tc>
      </w:tr>
      <w:tr>
        <w:trPr>
          <w:cantSplit/>
        </w:trPr>
        <w:tc>
          <w:tcPr>
            <w:tcW w:type="dxa" w:w="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10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TMC 数据闭环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执行日志、结果、人工干预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可回放训练样本/指标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5"/>
              </w:rPr>
              <w:t>标记根因与版本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5.2 结果检查器到底由谁做？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结果检查器不应被设计成单一黑盒。NVIDIA 侧最适合实现视觉/状态结果估计器：把 Cosmos 预测的未来视频转成 p_success、p_drop、p_collision、OOD 等软分数。NEC 侧最适合实现约束监督器：将这些分数与 PDDL/工艺规则、资源状态和异常流程合并，决定批准、切换候选还是重规划。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TMC 不能把责任外包：任务成功的定义、阈值、金标验证集、漏检/误检代价、安全案例和最终验收必须由 TMC 掌握。UR Safety 或 Safety PLC 则对速度、区域、力矩和急停保持独立硬否决；其逻辑不得依赖生成式模型。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2"/>
        <w:keepNext/>
      </w:pPr>
      <w:r>
        <w:rPr>
          <w:rFonts w:ascii="Calibri" w:hAnsi="Calibri" w:eastAsia="Noto Sans CJK SC"/>
        </w:rPr>
        <w:t>5.3 检查层与否决权矩阵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900"/>
        <w:gridCol w:w="3400"/>
        <w:gridCol w:w="2310"/>
      </w:tblGrid>
      <w:tr>
        <w:trPr>
          <w:tblHeader w:val="true"/>
          <w:cantSplit/>
        </w:trPr>
        <w:tc>
          <w:tcPr>
            <w:tcW w:type="dxa" w:w="1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检查层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实现方建议</w:t>
            </w:r>
          </w:p>
        </w:tc>
        <w:tc>
          <w:tcPr>
            <w:tcW w:type="dxa" w:w="3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检查内容</w:t>
            </w:r>
          </w:p>
        </w:tc>
        <w:tc>
          <w:tcPr>
            <w:tcW w:type="dxa" w:w="23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权力边界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结果估计/critic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NVIDIA 技术栈 + TMC 任务数据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视觉成功、掉落、碰撞、姿态/质量趋势、不确定性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只给概率与证据，不单独放行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约束监督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NEC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PDDL/工艺规则、资源冲突、序列合法性、异常重规划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可否决或换候选；不能绕过硬安全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产品验收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成功定义、阈值、验证集、回归门槛、供应商接口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最终产品与质量责任</w:t>
            </w:r>
          </w:p>
        </w:tc>
      </w:tr>
      <w:tr>
        <w:trPr>
          <w:cantSplit/>
        </w:trPr>
        <w:tc>
          <w:tcPr>
            <w:tcW w:type="dxa" w:w="175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硬安全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UR / 手部安全控制 / Safety PLC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速度、区域、力矩、急停、保护停机</w:t>
            </w:r>
          </w:p>
        </w:tc>
        <w:tc>
          <w:tcPr>
            <w:tcW w:type="dxa" w:w="2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最终硬否决，独立于 AI</w:t>
            </w:r>
          </w:p>
        </w:tc>
      </w:tr>
    </w:tbl>
    <w:p>
      <w:pPr>
        <w:spacing w:after="0"/>
      </w:pP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签字门槛：结果估计器必须报告校准与 OOD；NEC 监督器必须可回放每次放行/否决依据；硬安全链必须通过故障注入且不依赖任何 AI 节点。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6｜少量真机数据、微调与强化学习</w:t>
      </w:r>
    </w:p>
    <w:p>
      <w:pPr>
        <w:pStyle w:val="Heading2"/>
        <w:keepNext/>
      </w:pPr>
      <w:r>
        <w:rPr>
          <w:rFonts w:ascii="Calibri" w:hAnsi="Calibri" w:eastAsia="Noto Sans CJK SC"/>
        </w:rPr>
        <w:t>6.1 是关键，但应把命题说完整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关键不只是“如何用少量真机数据 fine-tune GR00T 2 和 WAM，最后再做 RL”，而是如何构建现实锚定的数据飞轮：真机种子数据定义真实传感器、动力学和失败分布；仿真与生成模型扩大覆盖；监督学习先建立稳定基线；闭环评测找出难例；有限部署收集干预与恢复；RL 只优化适合它的局部接触策略。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166360" cy="4407234"/>
            <wp:docPr id="8" name="Picture 8" title="图 7" descr="环形流程从真机种子数据开始，经系统辨识、仿真扩增、监督微调和 DAgger、闭环评测、有限部署与主动采样，再回到真机难例数据；中央是 TMC 数据资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data_flywhe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407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7｜现实锚定的数据飞轮</w:t>
      </w:r>
    </w:p>
    <w:p>
      <w:pPr>
        <w:pStyle w:val="Heading2"/>
        <w:keepNext/>
      </w:pPr>
      <w:r>
        <w:rPr>
          <w:rFonts w:ascii="Calibri" w:hAnsi="Calibri" w:eastAsia="Noto Sans CJK SC"/>
        </w:rPr>
        <w:t>6.2 真机数据最小可用规范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250"/>
        <w:gridCol w:w="341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数据域</w:t>
            </w:r>
          </w:p>
        </w:tc>
        <w:tc>
          <w:tcPr>
            <w:tcW w:type="dxa" w:w="4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最低字段</w:t>
            </w:r>
          </w:p>
        </w:tc>
        <w:tc>
          <w:tcPr>
            <w:tcW w:type="dxa" w:w="34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为什么不可省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时间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统一单调时钟、硬件/软件时间戳、帧丢失标志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动作与视觉错位会直接污染策略学习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视觉/3D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原始帧、内外参、曝光/深度状态、相机位姿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支持重建、重标定和仿真域匹配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机器人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关节/末端状态、命令、控制模式、控制周期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区分策略错误、跟踪误差和执行延迟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手与接触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手指命令/状态、触觉、力矩、腕力、滑移事件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灵巧操作的成败常由局部接触决定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任务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技能 ID、对象/场景、前后状态、成功标准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让数据可被 PDDL、策略和 critic 共同使用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异常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失败标签、人工干预、恢复动作、保护停机原因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失败与纠正比重复成功轨迹更有信息量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版本</w:t>
            </w:r>
          </w:p>
        </w:tc>
        <w:tc>
          <w:tcPr>
            <w:tcW w:type="dxa" w:w="4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模型、规则、标定、固件、场景和数据版本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支持回归、复现、归因和安全审计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Noto Sans CJK SC"/>
        </w:rPr>
        <w:t>6.3 建议训练顺序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先做可重复的示教/行为克隆基线：单技能、短时序、可明确验收。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用 Isaac Sim/Lab 做系统辨识、域随机化和闭环回归；不要只做开环动作误差。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微调 GR00T N1.7 或选定 WAM；同时训练结果估计器和 OOD 检测，而不是只训练 policy。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采用 DAgger/人工干预回收失败边界；将失败、纠正和恢复加入数据。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对接触丰富局部技能在仿真中做 RL 或离线 RL，再以安全盾和小步真实验证迁移。</w:t>
      </w:r>
    </w:p>
    <w:p>
      <w:pPr>
        <w:pStyle w:val="BodyText"/>
        <w:spacing w:after="80"/>
        <w:numPr>
          <w:ilvl w:val="0"/>
          <w:numId w:val="10"/>
        </w:numPr>
      </w:pPr>
      <w:r>
        <w:rPr>
          <w:rFonts w:ascii="Calibri" w:hAnsi="Calibri" w:eastAsia="Noto Sans CJK SC"/>
        </w:rPr>
        <w:t>模型/规则/标定任何一项变化都触发固定回归集与安全门槛。</w:t>
      </w:r>
    </w:p>
    <w:p>
      <w:pPr>
        <w:spacing w:before="100" w:after="160"/>
        <w:ind w:left="115" w:right="115"/>
        <w:shd w:fill="FBEAEC"/>
        <w:pBdr>
          <w:left w:val="single" w:sz="18" w:space="7" w:color="B23A48"/>
        </w:pBdr>
      </w:pPr>
      <w:r>
        <w:rPr>
          <w:rFonts w:ascii="Calibri" w:hAnsi="Calibri" w:eastAsia="Noto Sans CJK SC"/>
          <w:b/>
          <w:color w:val="B23A48"/>
          <w:sz w:val="21"/>
        </w:rPr>
        <w:t>不建议：在没有安全盾、OOD 拒绝、干预通道和版本回滚的情况下做开放式真机在线 RL。</w:t>
      </w:r>
    </w:p>
    <w:p>
      <w:pPr>
        <w:pStyle w:val="Heading2"/>
        <w:keepNext/>
      </w:pPr>
      <w:r>
        <w:rPr>
          <w:rFonts w:ascii="Calibri" w:hAnsi="Calibri" w:eastAsia="Noto Sans CJK SC"/>
        </w:rPr>
        <w:t>6.4 RL 最值得投入的位置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800"/>
        <w:gridCol w:w="2450"/>
        <w:gridCol w:w="2110"/>
      </w:tblGrid>
      <w:tr>
        <w:trPr>
          <w:tblHeader w:val="true"/>
          <w:cantSplit/>
        </w:trPr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场景</w:t>
            </w:r>
          </w:p>
        </w:tc>
        <w:tc>
          <w:tcPr>
            <w:tcW w:type="dxa" w:w="2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首选方法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RL 价值</w:t>
            </w:r>
          </w:p>
        </w:tc>
        <w:tc>
          <w:tcPr>
            <w:tcW w:type="dxa" w:w="21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上线约束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自由空间到位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cuMotion + 传统控制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低；无需用 RL 重学确定性几何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碰撞/关节限制与轨迹回归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抓取姿态选择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SFT/WAM + critic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中；用于候选排序与难例优化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OOD 拒绝、可回退抓取库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插入/旋转/滑移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局部触觉策略 + 仿真/离线 RL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高；接触与长尾反馈密集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力/位移硬限制、局部状态机</w:t>
            </w:r>
          </w:p>
        </w:tc>
      </w:tr>
      <w:tr>
        <w:trPr>
          <w:cantSplit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长时序任务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PDDL/分层策略 + 重规划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中；不宜端到端吞掉全部逻辑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分步验收、异常恢复、人工接管</w:t>
            </w:r>
          </w:p>
        </w:tc>
      </w:tr>
    </w:tbl>
    <w:p>
      <w:pPr>
        <w:spacing w:after="0"/>
      </w:pP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7｜硬件与算力部署建议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691152"/>
            <wp:docPr id="9" name="Picture 9" title="图 8" descr="上层为 AGX Orin、两张 RTX PRO 6000 的低时延推理与仿真训练分工；下层为传感器、UR 机器人和灵巧手、独立安全控制；最下方展示分层动作接口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hardware_deploy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91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8｜AGX Orin、双 RTX PRO 6000、机器人与安全控制的部署分工</w:t>
      </w:r>
    </w:p>
    <w:p>
      <w:pPr>
        <w:pStyle w:val="Heading2"/>
        <w:keepNext/>
      </w:pPr>
      <w:r>
        <w:rPr>
          <w:rFonts w:ascii="Calibri" w:hAnsi="Calibri" w:eastAsia="Noto Sans CJK SC"/>
        </w:rPr>
        <w:t>7.1 推荐分配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AGX Orin 放在设备侧，负责 Isaac ROS、传感器时间同步与融合、机器人 I/O、轻量状态估计和故障降级。第一张 RTX PRO 6000 作为在线/准在线模型节点，运行 GR00T、WAM、Cosmos 结果预演或适配训练；第二张卡主要服务 Isaac Sim/Lab、批量 rollout、数据生成和离线训练。具体显存与吞吐必须以选定模型、分辨率、动作 horizon 和并发候选数实测。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UR 控制器、灵巧手本地控制器和 Safety PLC 保持硬实时，AI 节点只发送经过验证的技能或轨迹引用。网络延迟、丢包、节点重启和模型超时都必须有确定性降级：保持、退回安全位、停止或交给人工。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2"/>
        <w:keepNext/>
      </w:pPr>
      <w:r>
        <w:rPr>
          <w:rFonts w:ascii="Calibri" w:hAnsi="Calibri" w:eastAsia="Noto Sans CJK SC"/>
        </w:rPr>
        <w:t>7.2 必须先冻结的接口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20"/>
        <w:gridCol w:w="284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接口</w:t>
            </w:r>
          </w:p>
        </w:tc>
        <w:tc>
          <w:tcPr>
            <w:tcW w:type="dxa" w:w="47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建议契约</w:t>
            </w:r>
          </w:p>
        </w:tc>
        <w:tc>
          <w:tcPr>
            <w:tcW w:type="dxa" w:w="28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版本治理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Observation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相机/深度/点云、机器人状态、触觉/力、时间戳、有效性掩码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schema 版本 + 单调时间 + 标定哈希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Symbolic state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硬谓词、软风险、未知/过期状态、事实来源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规则库版本 + 来源追踪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Skill request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技能 ID、参数、前后条件、超时、回退、资源锁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PDDL domain 与技能注册表同步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Action chunk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坐标系、单位、频率、horizon、置信度、终止条件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模型适配器版本 + 输入兼容检查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Outcome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成功/失败、原因码、分数、证据帧、人工干预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阈值和验证集版本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Safety veto</w:t>
            </w:r>
          </w:p>
        </w:tc>
        <w:tc>
          <w:tcPr>
            <w:tcW w:type="dxa" w:w="4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统一否决码、触发源、时间、恢复许可</w:t>
            </w:r>
          </w:p>
        </w:tc>
        <w:tc>
          <w:tcPr>
            <w:tcW w:type="dxa" w:w="2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不可被 AI 覆盖；只读审计记录</w:t>
            </w:r>
          </w:p>
        </w:tc>
      </w:tr>
    </w:tbl>
    <w:p>
      <w:pPr>
        <w:spacing w:after="0"/>
      </w:pP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接口验收：任意基础模型被替换后，Observation、Skill、Action、Outcome 与 Safety 契约仍应保持向后兼容或可通过显式适配器迁移。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8｜15 个月行动方案</w:t>
      </w:r>
    </w:p>
    <w:p>
      <w:pPr>
        <w:spacing w:before="80" w:after="0"/>
        <w:jc w:val="center"/>
      </w:pPr>
      <w:r>
        <w:rPr>
          <w:rFonts w:ascii="Calibri" w:hAnsi="Calibri" w:eastAsia="Noto Sans CJK SC"/>
        </w:rPr>
        <w:drawing>
          <wp:inline xmlns:a="http://schemas.openxmlformats.org/drawingml/2006/main" xmlns:pic="http://schemas.openxmlformats.org/drawingml/2006/picture">
            <wp:extent cx="5897880" cy="3132331"/>
            <wp:docPr id="10" name="Picture 10" title="图 9" descr="横向甘特图展示零到十五个月五阶段：架构与基线、单技能闭环、未来预测与重规划、触觉与局部强化学习、长任务与可靠性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oad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32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60"/>
        <w:jc w:val="center"/>
      </w:pPr>
      <w:r>
        <w:rPr>
          <w:rFonts w:ascii="Calibri" w:hAnsi="Calibri" w:eastAsia="Noto Sans CJK SC"/>
        </w:rPr>
        <w:t>图 9｜分阶段路线图</w:t>
      </w:r>
    </w:p>
    <w:p>
      <w:pPr>
        <w:pStyle w:val="Heading2"/>
        <w:keepNext/>
      </w:pPr>
      <w:r>
        <w:rPr>
          <w:rFonts w:ascii="Calibri" w:hAnsi="Calibri" w:eastAsia="Noto Sans CJK SC"/>
        </w:rPr>
        <w:t>P0｜0–2 个月：架构与安全基线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冻结任务、数据、动作、结果和安全接口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完成 UR + 灵巧手 + 相机/3D/触觉时钟同步与外参标定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实现 cuMotion 基线、PDDL/等价 DSL 原型、硬安全边界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建立版本库、回放工具和第一批验收脚本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闸门：单技能场景可重复回放；时间/位姿标定达到任务所需；硬安全链独立有效。</w:t>
      </w:r>
    </w:p>
    <w:p>
      <w:pPr>
        <w:pStyle w:val="Heading2"/>
        <w:keepNext/>
      </w:pPr>
      <w:r>
        <w:rPr>
          <w:rFonts w:ascii="Calibri" w:hAnsi="Calibri" w:eastAsia="Noto Sans CJK SC"/>
        </w:rPr>
        <w:t>P1｜2–4 个月：单技能可用闭环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选择一个高价值、边界清晰的技能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采集成功、失败、干预和恢复真机数据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建立 GR00T N1.7 或替代 VLA 基线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搭建 Isaac Sim 数字孪生与结果标签规范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闸门：在冻结验证集上达到 agreed success rate；干预率、周期和失败原因可解释。</w:t>
      </w:r>
    </w:p>
    <w:p>
      <w:pPr>
        <w:pStyle w:val="Heading2"/>
        <w:keepNext/>
      </w:pPr>
      <w:r>
        <w:rPr>
          <w:rFonts w:ascii="Calibri" w:hAnsi="Calibri" w:eastAsia="Noto Sans CJK SC"/>
        </w:rPr>
        <w:t>P2｜4–7 个月：未来预演与重规划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接入 Cosmos 前向动力学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训练任务专用结果估计器和 OOD 检测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NEC 约束监督器实现候选切换与异常重规划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用仿真做域随机化和闭环回归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闸门：critic 对关键失败的漏检率满足约定；重规划比固定脚本显著降低人工干预。</w:t>
      </w:r>
    </w:p>
    <w:p>
      <w:pPr>
        <w:pStyle w:val="Heading2"/>
        <w:keepNext/>
      </w:pPr>
      <w:r>
        <w:rPr>
          <w:rFonts w:ascii="Calibri" w:hAnsi="Calibri" w:eastAsia="Noto Sans CJK SC"/>
        </w:rPr>
        <w:t>P3｜7–10 个月：接触丰富与局部 RL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分层灵巧手动作接口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在仿真/离线环境训练插入、旋转、滑移等局部策略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DAgger 与主动学习集中采集边界样本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建立安全盾、回滚和小步真机迁移流程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闸门：接触技能成功率提升且无硬安全违规；跨对象/姿态泛化通过专门测试。</w:t>
      </w:r>
    </w:p>
    <w:p>
      <w:pPr>
        <w:pStyle w:val="Heading2"/>
        <w:keepNext/>
      </w:pPr>
      <w:r>
        <w:rPr>
          <w:rFonts w:ascii="Calibri" w:hAnsi="Calibri" w:eastAsia="Noto Sans CJK SC"/>
        </w:rPr>
        <w:t>P4｜10–15 个月：长时序与生产可靠性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在可获得时评估 GR00T N2/先进 WAM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组合多技能长任务、资源冲突与异常恢复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完成长稳测试、维护策略、变更回归与供应商替换演练</w:t>
      </w:r>
    </w:p>
    <w:p>
      <w:pPr>
        <w:pStyle w:val="ListBullet"/>
        <w:spacing w:after="80"/>
        <w:ind w:left="720" w:hanging="360"/>
      </w:pPr>
      <w:r>
        <w:rPr>
          <w:rFonts w:ascii="Calibri" w:hAnsi="Calibri" w:eastAsia="Noto Sans CJK SC"/>
        </w:rPr>
        <w:t>形成量产安全案例与运营看板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闸门：连续运行、恢复能力、周期、质量和维护成本达到生产门槛。</w:t>
      </w:r>
    </w:p>
    <w:p>
      <w:pPr>
        <w:pStyle w:val="Heading2"/>
        <w:keepNext/>
      </w:pPr>
      <w:r>
        <w:rPr>
          <w:rFonts w:ascii="Calibri" w:hAnsi="Calibri" w:eastAsia="Noto Sans CJK SC"/>
        </w:rPr>
        <w:t>8.1 PoC 的推荐切入点</w:t>
      </w: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首个 PoC 应选择“可被 PDDL 分解、cuMotion 与接触策略都有明确边界、结果可视觉/力觉验证”的任务，例如：定位 → 自由空间接近 → 抓取 → 搬运 → 插入/放置 → 质量确认。避免一开始选择开放世界、多对象长时序和高动态人机协作同时出现的任务。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2"/>
        <w:keepNext/>
      </w:pPr>
      <w:r>
        <w:rPr>
          <w:rFonts w:ascii="Calibri" w:hAnsi="Calibri" w:eastAsia="Noto Sans CJK SC"/>
        </w:rPr>
        <w:t>8.2 三方工作包与 RACI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900"/>
        <w:gridCol w:w="900"/>
        <w:gridCol w:w="1760"/>
        <w:gridCol w:w="400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工作包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TMC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NEC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NVIDIA/技术栈</w:t>
            </w:r>
          </w:p>
        </w:tc>
        <w:tc>
          <w:tcPr>
            <w:tcW w:type="dxa" w:w="4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交付物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任务与验收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A/R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成功定义、阈值、金标集、安全案例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PDDL/约束监督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R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domain、状态适配、重规划与异常流程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感知与动作模型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A/C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观测管线、VLA/WAM、critic 与推理服务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仿真与数据扩增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A/C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数字孪生、随机化、合成数据、回归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几何与执行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R/C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cuMotion、驱动、技能接口、降级</w:t>
            </w:r>
          </w:p>
        </w:tc>
      </w:tr>
      <w:tr>
        <w:trPr>
          <w:cantSplit/>
        </w:trPr>
        <w:tc>
          <w:tcPr>
            <w:tcW w:type="dxa" w:w="18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硬安全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A/R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Safety PLC/UR 配置、验证记录</w:t>
            </w:r>
          </w:p>
        </w:tc>
      </w:tr>
    </w:tbl>
    <w:p>
      <w:pPr>
        <w:spacing w:after="0"/>
      </w:pPr>
    </w:p>
    <w:p>
      <w:pPr>
        <w:pStyle w:val="BodyText"/>
        <w:spacing w:after="120"/>
      </w:pPr>
      <w:r>
        <w:rPr>
          <w:rFonts w:ascii="Calibri" w:hAnsi="Calibri" w:eastAsia="Noto Sans CJK SC"/>
        </w:rPr>
        <w:t>RACI 说明：A=最终负责，R=执行负责，C=协作/咨询。具体合同中应把 NVIDIA 区分为“产品/SDK 提供方”和“实际集成实施方”，避免把平台能力自动等同于交付责任。</w:t>
      </w: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合同建议：数据和验证集可导出；规则/domain 可审计；模型、运行时和集成服务分别报价；每个性能承诺都绑定场景、版本与测量方法。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9｜KPI、闸门与风险控制</w:t>
      </w:r>
    </w:p>
    <w:p>
      <w:pPr>
        <w:pStyle w:val="Heading2"/>
        <w:keepNext/>
      </w:pPr>
      <w:r>
        <w:rPr>
          <w:rFonts w:ascii="Calibri" w:hAnsi="Calibri" w:eastAsia="Noto Sans CJK SC"/>
        </w:rPr>
        <w:t>9.1 一组可执行的指标框架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50"/>
        <w:gridCol w:w="381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维度</w:t>
            </w:r>
          </w:p>
        </w:tc>
        <w:tc>
          <w:tcPr>
            <w:tcW w:type="dxa" w:w="38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指标示例</w:t>
            </w:r>
          </w:p>
        </w:tc>
        <w:tc>
          <w:tcPr>
            <w:tcW w:type="dxa" w:w="38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阶段性要求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数据质量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跨传感器同步误差、丢帧率、标定漂移、无效样本率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先按任务物理时间尺度设阈值；每批数据自动报告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任务效果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成功率、周期时间、一次通过率、恢复成功率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按对象/姿态/场景分桶，不只看总体平均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人工依赖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千次任务干预数、干预原因、人工恢复时间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必须随版本下降；新失败类型单独立项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结果估计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关键失败漏检率、误报率、校准误差、OOD 覆盖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高风险失败优先压低漏检；低置信度应拒绝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可靠性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连续运行时长、重启恢复、网络/节点故障降级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通过故障注入和版本回滚演练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安全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硬安全违规、保护停机、近失事件、否决原因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硬安全违规目标为 0；所有事件可追溯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可维护性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模型/规则发布周期、回归时长、回滚耗时、版本兼容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任何变更必须能重放同一验证集</w:t>
            </w:r>
          </w:p>
        </w:tc>
      </w:tr>
    </w:tbl>
    <w:p>
      <w:pPr>
        <w:spacing w:after="0"/>
      </w:pPr>
    </w:p>
    <w:p>
      <w:pPr>
        <w:pStyle w:val="BodyText"/>
        <w:spacing w:after="120"/>
        <w:ind w:firstLine="360"/>
      </w:pPr>
      <w:r>
        <w:rPr>
          <w:rFonts w:ascii="Calibri" w:hAnsi="Calibri" w:eastAsia="Noto Sans CJK SC"/>
        </w:rPr>
        <w:t>具体数值不应在任务尚未冻结时凭空承诺。第一阶段先通过基线采样确定现实分布，再由 TMC 根据节拍、质量和风险代价定义门槛；对安全类指标则从一开始采用“硬违规为零”和事件全追溯。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2"/>
        <w:keepNext/>
      </w:pPr>
      <w:r>
        <w:rPr>
          <w:rFonts w:ascii="Calibri" w:hAnsi="Calibri" w:eastAsia="Noto Sans CJK SC"/>
        </w:rPr>
        <w:t>9.2 风险登记表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450"/>
        <w:gridCol w:w="3550"/>
        <w:gridCol w:w="1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风险</w:t>
            </w:r>
          </w:p>
        </w:tc>
        <w:tc>
          <w:tcPr>
            <w:tcW w:type="dxa" w:w="24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早期信号</w:t>
            </w:r>
          </w:p>
        </w:tc>
        <w:tc>
          <w:tcPr>
            <w:tcW w:type="dxa" w:w="35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缓解措施</w:t>
            </w:r>
          </w:p>
        </w:tc>
        <w:tc>
          <w:tcPr>
            <w:tcW w:type="dxa" w:w="1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6"/>
              </w:rPr>
              <w:t>Owner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把生成式预测当硬事实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PDDL 谓词直接来自预测视频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只以软成本进入监督器；硬谓词需实测或确定性推导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TMC/NEC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模型尚未可用或接口变化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PoC 依赖 GR00T N2 未公开能力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N1.7/替代 VLA 基线 + 模型适配器 + 退出条件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仿真看似成功、真机失败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开环指标好但闭环干预高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系统辨识、真机难例、闭环回归、域随机化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NVIDIA 栈/集成方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数据量有了但不可训练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时钟、标定、版本缺失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采集前冻结 schema；自动质量门禁与回放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灵巧手动作维数失控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端到端策略抖动、延迟、样本需求暴增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技能潜变量 + 本地触觉控制 + 分层安全限制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TMC/手部厂商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安全职责模糊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critic 分数被当作放行证明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独立 Safety PLC、签字矩阵、故障注入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供应商锁定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规则/数据/动作接口不可导出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 持有 schema、domain、评测集和适配接口</w:t>
            </w:r>
          </w:p>
        </w:tc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6"/>
              </w:rPr>
              <w:t>TMC</w:t>
            </w:r>
          </w:p>
        </w:tc>
      </w:tr>
    </w:tbl>
    <w:p>
      <w:pPr>
        <w:spacing w:after="0"/>
      </w:pPr>
    </w:p>
    <w:p>
      <w:pPr>
        <w:spacing w:before="100" w:after="160"/>
        <w:ind w:left="115" w:right="115"/>
        <w:shd w:fill="F2F4F7"/>
        <w:pBdr>
          <w:left w:val="single" w:sz="18" w:space="7" w:color="52606D"/>
        </w:pBdr>
      </w:pPr>
      <w:r>
        <w:rPr>
          <w:rFonts w:ascii="Calibri" w:hAnsi="Calibri" w:eastAsia="Noto Sans CJK SC"/>
          <w:b/>
          <w:color w:val="52606D"/>
          <w:sz w:val="21"/>
        </w:rPr>
        <w:t>风险处置节奏：每个里程碑更新概率、影响、责任人和截止日；凡涉及硬安全、数据不可追溯或模型无降级路径的风险，不得带入下一阶段。</w:t>
      </w:r>
    </w:p>
    <w:p>
      <w:r>
        <w:rPr>
          <w:rFonts w:ascii="Calibri" w:hAnsi="Calibri" w:eastAsia="Noto Sans CJK SC"/>
        </w:rPr>
        <w:br w:type="page"/>
      </w:r>
    </w:p>
    <w:p>
      <w:pPr>
        <w:pStyle w:val="Heading1"/>
        <w:keepNext/>
      </w:pPr>
      <w:r>
        <w:rPr>
          <w:rFonts w:ascii="Calibri" w:hAnsi="Calibri" w:eastAsia="Noto Sans CJK SC"/>
        </w:rPr>
        <w:t>10｜最终架构判断</w:t>
      </w:r>
    </w:p>
    <w:p>
      <w:pPr>
        <w:spacing w:before="100" w:after="160"/>
        <w:ind w:left="115" w:right="115"/>
        <w:shd w:fill="E7F4EF"/>
        <w:pBdr>
          <w:left w:val="single" w:sz="18" w:space="7" w:color="2E7D6B"/>
        </w:pBdr>
      </w:pPr>
      <w:r>
        <w:rPr>
          <w:rFonts w:ascii="Calibri" w:hAnsi="Calibri" w:eastAsia="Noto Sans CJK SC"/>
          <w:b/>
          <w:color w:val="2E7D6B"/>
          <w:sz w:val="21"/>
        </w:rPr>
        <w:t>应推进的组合：TMC 数据与验收主权 + NEC 可解释约束/异常编排 + NVIDIA 世界动作模型、仿真、感知和几何控制 + 独立硬安全。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PDDL 不是完整世界模型，但它非常适合承载工业任务中的可解释、可审计规则。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Fast Downward 类求解器与 cuMotion 分属离散任务规划和连续运动规划，不能互换。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NEC 的公开优势更像人/场景感知、工业路径规划、约束治理与集成，而不是经证实的专属 PDDL 求解器。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Cosmos 3/WAM 的价值是候选动作与未来预演；结果检查必须增加任务专用 critic，并由 NEC/TMC 的确定性监督层治理。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Isaac Sim/Lab 与 WAM 不冲突：前者是训练场与测试台，后者是学习型策略与近似未来模型。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少量真机数据是关键，但必须通过同步、失败/干预标签、仿真校准、监督学习和主动学习放大；RL 只在局部高价值环节使用。</w:t>
      </w:r>
    </w:p>
    <w:p>
      <w:pPr>
        <w:pStyle w:val="BodyText"/>
        <w:spacing w:after="80"/>
        <w:numPr>
          <w:ilvl w:val="0"/>
          <w:numId w:val="11"/>
        </w:numPr>
      </w:pPr>
      <w:r>
        <w:rPr>
          <w:rFonts w:ascii="Calibri" w:hAnsi="Calibri" w:eastAsia="Noto Sans CJK SC"/>
        </w:rPr>
        <w:t>最重要的长期资产不是某个基础模型，而是 TMC 自有的现实数据飞轮、接口契约、规则库、验证集与安全案例。</w:t>
      </w:r>
    </w:p>
    <w:p>
      <w:pPr>
        <w:pStyle w:val="Heading2"/>
        <w:keepNext/>
      </w:pPr>
      <w:r>
        <w:rPr>
          <w:rFonts w:ascii="Calibri" w:hAnsi="Calibri" w:eastAsia="Noto Sans CJK SC"/>
        </w:rPr>
        <w:t>立刻可以启动的 10 项动作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指定 TMC 侧系统 owner、数据 owner、安全 owner 和模型 owner。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与 NEC 做一次事实澄清：其规划器、PDDL/DSL、世界模型和异常编排的真实接口是什么。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冻结首个 PoC 的任务边界、成功定义、失败 taxonomy 和人工接管流程。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冻结 Observation / Skill / Action / Outcome / Safety 五类接口。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完成全部传感器、UR 与灵巧手的统一时钟和标定基线。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建立 cuMotion + 固定技能库的无学习基线，作为后续比较对象。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采集首批包含失败、干预与恢复的真机数据，而不是只采成功演示。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搭建 Isaac Sim/Lab 数字孪生和自动回归；先验证物理误差，再扩大合成数据。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用 GR00T N1.7/可用模型建立 SFT 基线，同时训练 critic 与 OOD 拒绝。</w:t>
      </w:r>
    </w:p>
    <w:p>
      <w:pPr>
        <w:pStyle w:val="BodyText"/>
        <w:spacing w:after="80"/>
        <w:numPr>
          <w:ilvl w:val="0"/>
          <w:numId w:val="12"/>
        </w:numPr>
      </w:pPr>
      <w:r>
        <w:rPr>
          <w:rFonts w:ascii="Calibri" w:hAnsi="Calibri" w:eastAsia="Noto Sans CJK SC"/>
        </w:rPr>
        <w:t>每四周举行一次跨方架构闸门评审，用冻结指标决定是否扩大任务或引入 RL/N2。</w:t>
      </w:r>
    </w:p>
    <w:p>
      <w:pPr>
        <w:pStyle w:val="Heading1"/>
        <w:keepNext/>
      </w:pPr>
      <w:r>
        <w:rPr>
          <w:rFonts w:ascii="Calibri" w:hAnsi="Calibri" w:eastAsia="Noto Sans CJK SC"/>
        </w:rPr>
        <w:t>附录 A｜术语速查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术语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/>
                <w:color w:val="102A43"/>
                <w:sz w:val="17"/>
              </w:rPr>
              <w:t>本报告中的准确含义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PDDL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描述对象、谓词、动作、前置条件、效果、初始状态和目标的符号规划语言。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Fast Downward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读取 PDDL 并通过转换与启发式搜索产生离散计划的开源经典规划器。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cuMotion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GPU 加速的连续机器人运动生成/轨迹规划能力；处理几何与碰撞，不处理完整任务逻辑。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WAM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World Action Model；联合建模观测、动作和未来，输出动作或未来视觉/状态的学习型模型。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Cosmos 3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NVIDIA 世界—动作模型体系，支持推理、未来生成和动作建模等模式。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GR00T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NVIDIA 面向通用机器人的基础模型家族；N1.7 为公开可落地基线，N2 为 WAM 路线的新一代预告。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Isaac Sim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显式物理与数字孪生仿真环境，用于合成数据、验证和虚拟测试。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Isaac Lab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基于仿真的机器人学习与强化学习工作流/框架。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Critic / 结果估计器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把预测未来或执行结果转换为成功、失败、风险与不确定性分数的任务专用模型。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Safety shield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位于学习策略之外的确定性限制与否决机制。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DAgger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在策略运行时收集专家纠正，迭代扩充接近真实分布的数据。</w:t>
            </w:r>
          </w:p>
        </w:tc>
      </w:tr>
      <w:tr>
        <w:trPr>
          <w:cantSplit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  <w:b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TMC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Noto Sans CJK SC"/>
              </w:rPr>
            </w:r>
            <w:r>
              <w:rPr>
                <w:rFonts w:ascii="Calibri" w:hAnsi="Calibri" w:eastAsia="Noto Sans CJK SC"/>
                <w:b w:val="0"/>
                <w:color w:val="1F2933"/>
                <w:sz w:val="17"/>
              </w:rPr>
              <w:t>本报告中指系统/产品 owner：拥有需求、数据、阈值、验收和安全责任。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Noto Sans CJK SC"/>
        </w:rPr>
        <w:t>附录 B｜公开资料与技术来源</w:t>
      </w:r>
    </w:p>
    <w:p>
      <w:pPr>
        <w:pStyle w:val="BodyText"/>
        <w:spacing w:after="120"/>
      </w:pPr>
      <w:r>
        <w:rPr>
          <w:rFonts w:ascii="Calibri" w:hAnsi="Calibri" w:eastAsia="Noto Sans CJK SC"/>
        </w:rPr>
        <w:t>以下来源用于核验公开事实。架构评分、角色分配和路线图属于本报告的工程建议，不代表 NEC 或 NVIDIA 的官方承诺。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[1] </w:t>
      </w:r>
      <w:hyperlink r:id="rId20">
        <w:r>
          <w:rPr>
            <w:rFonts w:ascii="Calibri" w:hAnsi="Calibri" w:eastAsia="Noto Sans CJK SC"/>
            <w:color w:val="2E74B5"/>
            <w:u w:val="single"/>
          </w:rPr>
          <w:t>NEC：以人类感知世界模型支持机器人在人共存环境中安全运行（2026-03-12）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https://www.nec.com/en/press/202603/global_20260312_01.html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[2] </w:t>
      </w:r>
      <w:hyperlink r:id="rId21">
        <w:r>
          <w:rPr>
            <w:rFonts w:ascii="Calibri" w:hAnsi="Calibri" w:eastAsia="Noto Sans CJK SC"/>
            <w:color w:val="2E74B5"/>
            <w:u w:val="single"/>
          </w:rPr>
          <w:t>NEC：AI 路径规划技术，在复杂障碍环境中缩短机器人移动时间（2025-08-21）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https://www.nec.com/en/press/202508/global_20250821_03.html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[3] </w:t>
      </w:r>
      <w:hyperlink r:id="rId22">
        <w:r>
          <w:rPr>
            <w:rFonts w:ascii="Calibri" w:hAnsi="Calibri" w:eastAsia="Noto Sans CJK SC"/>
            <w:color w:val="2E74B5"/>
            <w:u w:val="single"/>
          </w:rPr>
          <w:t>NEC：视频与生成式 AI 辅助改善现场作业（2025-01-29，日文）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https://jpn.nec.com/press/202501/20250129_01.html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[4] </w:t>
      </w:r>
      <w:hyperlink r:id="rId23">
        <w:r>
          <w:rPr>
            <w:rFonts w:ascii="Calibri" w:hAnsi="Calibri" w:eastAsia="Noto Sans CJK SC"/>
            <w:color w:val="2E74B5"/>
            <w:u w:val="single"/>
          </w:rPr>
          <w:t>NVIDIA Developer Blog：Cosmos 3 推理、世界与动作模型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https://developer.nvidia.com/blog/develop-physical-ai-reasoning-world-and-action-models-with-nvidia-cosmos-3/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[5] </w:t>
      </w:r>
      <w:hyperlink r:id="rId24">
        <w:r>
          <w:rPr>
            <w:rFonts w:ascii="Calibri" w:hAnsi="Calibri" w:eastAsia="Noto Sans CJK SC"/>
            <w:color w:val="2E74B5"/>
            <w:u w:val="single"/>
          </w:rPr>
          <w:t>NVIDIA Cosmos 文档：Cosmos 3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https://docs.nvidia.com/cosmos/latest/cosmos3/index.html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[6] </w:t>
      </w:r>
      <w:hyperlink r:id="rId25">
        <w:r>
          <w:rPr>
            <w:rFonts w:ascii="Calibri" w:hAnsi="Calibri" w:eastAsia="Noto Sans CJK SC"/>
            <w:color w:val="2E74B5"/>
            <w:u w:val="single"/>
          </w:rPr>
          <w:t>Cosmos 3 技术论文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https://arxiv.org/html/2606.02800v4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[7] </w:t>
      </w:r>
      <w:hyperlink r:id="rId26">
        <w:r>
          <w:rPr>
            <w:rFonts w:ascii="Calibri" w:hAnsi="Calibri" w:eastAsia="Noto Sans CJK SC"/>
            <w:color w:val="2E74B5"/>
            <w:u w:val="single"/>
          </w:rPr>
          <w:t>NVIDIA Isaac GR00T 官方仓库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https://github.com/NVIDIA/Isaac-GR00T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[8] </w:t>
      </w:r>
      <w:hyperlink r:id="rId27">
        <w:r>
          <w:rPr>
            <w:rFonts w:ascii="Calibri" w:hAnsi="Calibri" w:eastAsia="Noto Sans CJK SC"/>
            <w:color w:val="2E74B5"/>
            <w:u w:val="single"/>
          </w:rPr>
          <w:t>NVIDIA：GR00T N2 预告与开放模型家族扩展（2026）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https://investor.nvidia.com/news/press-release-details/2026/NVIDIA-Expands-Open-Model-Families-to-Power-the-Next-Wave-of-Agentic-Physical-and-Healthcare-AI/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[9] </w:t>
      </w:r>
      <w:hyperlink r:id="rId28">
        <w:r>
          <w:rPr>
            <w:rFonts w:ascii="Calibri" w:hAnsi="Calibri" w:eastAsia="Noto Sans CJK SC"/>
            <w:color w:val="2E74B5"/>
            <w:u w:val="single"/>
          </w:rPr>
          <w:t>DreamZero：世界动作模型的跨本体机器人学习论文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https://arxiv.org/abs/2602.15922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[10] </w:t>
      </w:r>
      <w:hyperlink r:id="rId29">
        <w:r>
          <w:rPr>
            <w:rFonts w:ascii="Calibri" w:hAnsi="Calibri" w:eastAsia="Noto Sans CJK SC"/>
            <w:color w:val="2E74B5"/>
            <w:u w:val="single"/>
          </w:rPr>
          <w:t>NVIDIA Isaac Sim 官方概览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https://docs.isaacsim.omniverse.nvidia.com/latest/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[11] </w:t>
      </w:r>
      <w:hyperlink r:id="rId30">
        <w:r>
          <w:rPr>
            <w:rFonts w:ascii="Calibri" w:hAnsi="Calibri" w:eastAsia="Noto Sans CJK SC"/>
            <w:color w:val="2E74B5"/>
            <w:u w:val="single"/>
          </w:rPr>
          <w:t>Isaac Sim CosmosWriter：为 Cosmos Transfer 生成/增强数据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https://docs.isaacsim.omniverse.nvidia.com/6.0.1/replicator_tutorials/tutorial_replicator_cosmos.html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[12] </w:t>
      </w:r>
      <w:hyperlink r:id="rId31">
        <w:r>
          <w:rPr>
            <w:rFonts w:ascii="Calibri" w:hAnsi="Calibri" w:eastAsia="Noto Sans CJK SC"/>
            <w:color w:val="2E74B5"/>
            <w:u w:val="single"/>
          </w:rPr>
          <w:t>Isaac ROS cuMotion 官方文档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https://nvidia-isaac-ros.github.io/v/release-4.5/repositories_and_packages/isaac_ros_cumotion/index.html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[13] </w:t>
      </w:r>
      <w:hyperlink r:id="rId32">
        <w:r>
          <w:rPr>
            <w:rFonts w:ascii="Calibri" w:hAnsi="Calibri" w:eastAsia="Noto Sans CJK SC"/>
            <w:color w:val="2E74B5"/>
            <w:u w:val="single"/>
          </w:rPr>
          <w:t>NVIDIA Isaac Manipulation 参考架构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https://nvidia-isaac-ros.github.io/v/release-4.5/reference_workflows/isaac_for_manipulation/reference_architecture.html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[14] </w:t>
      </w:r>
      <w:hyperlink r:id="rId33">
        <w:r>
          <w:rPr>
            <w:rFonts w:ascii="Calibri" w:hAnsi="Calibri" w:eastAsia="Noto Sans CJK SC"/>
            <w:color w:val="2E74B5"/>
            <w:u w:val="single"/>
          </w:rPr>
          <w:t>Fast Downward：Planner Usage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https://www.fast-downward.org/HEAD/documentation/planner-usage/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[15] </w:t>
      </w:r>
      <w:hyperlink r:id="rId34">
        <w:r>
          <w:rPr>
            <w:rFonts w:ascii="Calibri" w:hAnsi="Calibri" w:eastAsia="Noto Sans CJK SC"/>
            <w:color w:val="2E74B5"/>
            <w:u w:val="single"/>
          </w:rPr>
          <w:t>Fast Downward：PDDL Support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https://www.fast-downward.org/23.06/documentation/pddl-support/</w:t>
      </w:r>
    </w:p>
    <w:p>
      <w:pPr>
        <w:pStyle w:val="SourceNote"/>
      </w:pPr>
      <w:r>
        <w:rPr>
          <w:rFonts w:ascii="Calibri" w:hAnsi="Calibri" w:eastAsia="Noto Sans CJK SC"/>
          <w:b/>
        </w:rPr>
        <w:t xml:space="preserve">[16] </w:t>
      </w:r>
      <w:hyperlink r:id="rId35">
        <w:r>
          <w:rPr>
            <w:rFonts w:ascii="Calibri" w:hAnsi="Calibri" w:eastAsia="Noto Sans CJK SC"/>
            <w:color w:val="2E74B5"/>
            <w:u w:val="single"/>
          </w:rPr>
          <w:t>NVIDIA Newton：接触丰富型工业机器人仿真与学习</w:t>
        </w:r>
      </w:hyperlink>
      <w:r>
        <w:rPr>
          <w:rFonts w:ascii="Calibri" w:hAnsi="Calibri" w:eastAsia="Noto Sans CJK SC"/>
          <w:color w:val="64748B"/>
          <w:sz w:val="15"/>
        </w:rPr>
        <w:t xml:space="preserve">  https://developer.nvidia.com/blog/newton-adds-contact-rich-manipulation-and-locomotion-capabilities-for-industrial-robotics/</w:t>
      </w:r>
    </w:p>
    <w:p>
      <w:pPr>
        <w:pStyle w:val="Heading1"/>
        <w:keepNext/>
      </w:pPr>
      <w:r>
        <w:rPr>
          <w:rFonts w:ascii="Calibri" w:hAnsi="Calibri" w:eastAsia="Noto Sans CJK SC"/>
        </w:rPr>
        <w:t>附录 C｜文档使用说明</w:t>
      </w:r>
    </w:p>
    <w:p>
      <w:pPr>
        <w:pStyle w:val="BodyText"/>
        <w:spacing w:after="120"/>
      </w:pPr>
      <w:r>
        <w:rPr>
          <w:rFonts w:ascii="Calibri" w:hAnsi="Calibri" w:eastAsia="Noto Sans CJK SC"/>
        </w:rPr>
        <w:t>本报告适合作为内部架构评审底稿、PoC 立项输入和三方责任边界草案。进入正式采购或安全认证前，需由 NEC 和 NVIDIA/集成方书面确认产品版本、许可、可获得性、性能边界、支持矩阵和交付责任；由 TMC 完成任务特定的风险评估、验证与签字。</w:t>
      </w:r>
    </w:p>
    <w:p>
      <w:pPr>
        <w:spacing w:before="100" w:after="160"/>
        <w:ind w:left="115" w:right="115"/>
        <w:shd w:fill="EAF2F8"/>
        <w:pBdr>
          <w:left w:val="single" w:sz="18" w:space="7" w:color="174A7E"/>
        </w:pBdr>
      </w:pPr>
      <w:r>
        <w:rPr>
          <w:rFonts w:ascii="Calibri" w:hAnsi="Calibri" w:eastAsia="Noto Sans CJK SC"/>
          <w:b/>
          <w:color w:val="174A7E"/>
          <w:sz w:val="21"/>
        </w:rPr>
        <w:t>最终原则：模型可以替换，数据和验收口径必须掌握在自己手里；AI 可以建议，硬安全必须能够拒绝。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Noto Sans CJK SC"/>
        <w:color w:val="52606D"/>
        <w:sz w:val="16"/>
      </w:rPr>
      <w:t xml:space="preserve">内部技术讨论稿  ·  </w:t>
    </w:r>
    <w:r>
      <w:rPr>
        <w:rFonts w:ascii="Calibri" w:hAnsi="Calibri" w:eastAsia="Noto Sans CJK SC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Noto Sans CJK SC"/>
        <w:b/>
        <w:color w:val="52606D"/>
        <w:sz w:val="16"/>
      </w:rPr>
      <w:t>TMC × NEC × NVIDIA  |  PHYSICAL AI INTEGRATION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720" w:hanging="36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Noto Sans CJK SC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 w:eastAsia="Noto Sans CJK SC"/>
      <w:b w:val="0"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4" w:lineRule="auto"/>
    </w:pPr>
    <w:rPr>
      <w:rFonts w:ascii="Calibri" w:hAnsi="Calibri" w:eastAsia="Noto Sans CJK SC"/>
      <w:color w:val="1F293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40" w:after="160"/>
    </w:pPr>
    <w:rPr>
      <w:rFonts w:ascii="Calibri" w:hAnsi="Calibri" w:eastAsia="Noto Sans CJK SC"/>
      <w:b w:val="0"/>
      <w:bCs/>
      <w:color w:val="52606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80" w:line="252" w:lineRule="auto"/>
    </w:pPr>
    <w:rPr>
      <w:rFonts w:ascii="Calibri" w:hAnsi="Calibri" w:eastAsia="Noto Sans CJK SC"/>
      <w:color w:val="52606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nec.com/en/press/202603/global_20260312_01.html" TargetMode="External"/><Relationship Id="rId21" Type="http://schemas.openxmlformats.org/officeDocument/2006/relationships/hyperlink" Target="https://www.nec.com/en/press/202508/global_20250821_03.html" TargetMode="External"/><Relationship Id="rId22" Type="http://schemas.openxmlformats.org/officeDocument/2006/relationships/hyperlink" Target="https://jpn.nec.com/press/202501/20250129_01.html" TargetMode="External"/><Relationship Id="rId23" Type="http://schemas.openxmlformats.org/officeDocument/2006/relationships/hyperlink" Target="https://developer.nvidia.com/blog/develop-physical-ai-reasoning-world-and-action-models-with-nvidia-cosmos-3/" TargetMode="External"/><Relationship Id="rId24" Type="http://schemas.openxmlformats.org/officeDocument/2006/relationships/hyperlink" Target="https://docs.nvidia.com/cosmos/latest/cosmos3/index.html" TargetMode="External"/><Relationship Id="rId25" Type="http://schemas.openxmlformats.org/officeDocument/2006/relationships/hyperlink" Target="https://arxiv.org/html/2606.02800v4" TargetMode="External"/><Relationship Id="rId26" Type="http://schemas.openxmlformats.org/officeDocument/2006/relationships/hyperlink" Target="https://github.com/NVIDIA/Isaac-GR00T" TargetMode="External"/><Relationship Id="rId27" Type="http://schemas.openxmlformats.org/officeDocument/2006/relationships/hyperlink" Target="https://investor.nvidia.com/news/press-release-details/2026/NVIDIA-Expands-Open-Model-Families-to-Power-the-Next-Wave-of-Agentic-Physical-and-Healthcare-AI/" TargetMode="External"/><Relationship Id="rId28" Type="http://schemas.openxmlformats.org/officeDocument/2006/relationships/hyperlink" Target="https://arxiv.org/abs/2602.15922" TargetMode="External"/><Relationship Id="rId29" Type="http://schemas.openxmlformats.org/officeDocument/2006/relationships/hyperlink" Target="https://docs.isaacsim.omniverse.nvidia.com/latest/" TargetMode="External"/><Relationship Id="rId30" Type="http://schemas.openxmlformats.org/officeDocument/2006/relationships/hyperlink" Target="https://docs.isaacsim.omniverse.nvidia.com/6.0.1/replicator_tutorials/tutorial_replicator_cosmos.html" TargetMode="External"/><Relationship Id="rId31" Type="http://schemas.openxmlformats.org/officeDocument/2006/relationships/hyperlink" Target="https://nvidia-isaac-ros.github.io/v/release-4.5/repositories_and_packages/isaac_ros_cumotion/index.html" TargetMode="External"/><Relationship Id="rId32" Type="http://schemas.openxmlformats.org/officeDocument/2006/relationships/hyperlink" Target="https://nvidia-isaac-ros.github.io/v/release-4.5/reference_workflows/isaac_for_manipulation/reference_architecture.html" TargetMode="External"/><Relationship Id="rId33" Type="http://schemas.openxmlformats.org/officeDocument/2006/relationships/hyperlink" Target="https://www.fast-downward.org/HEAD/documentation/planner-usage/" TargetMode="External"/><Relationship Id="rId34" Type="http://schemas.openxmlformats.org/officeDocument/2006/relationships/hyperlink" Target="https://www.fast-downward.org/23.06/documentation/pddl-support/" TargetMode="External"/><Relationship Id="rId35" Type="http://schemas.openxmlformats.org/officeDocument/2006/relationships/hyperlink" Target="https://developer.nvidia.com/blog/newton-adds-contact-rich-manipulation-and-locomotion-capabilities-for-industrial-robot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NEC × NVIDIA Physical AI 融合架构蓝图</dc:title>
  <dc:subject>PDDL、Fast Downward、cuMotion、Cosmos 3、GR00T、WAM、Isaac Sim/Lab 的边界、集成与行动方案</dc:subject>
  <dc:creator>技术架构工作组</dc:creator>
  <cp:keywords>Physical AI, NEC, NVIDIA, PDDL, Cosmos, GR00T, WAM, Isaac Sim, cuMotion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