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eastAsia="微软雅黑"/>
          <w:b/>
          <w:color w:val="2E74B5"/>
          <w:sz w:val="20"/>
        </w:rPr>
        <w:t>实施与验收基线</w:t>
      </w:r>
    </w:p>
    <w:p>
      <w:pPr>
        <w:spacing w:after="100"/>
      </w:pPr>
      <w:r>
        <w:rPr>
          <w:rFonts w:ascii="Calibri" w:hAnsi="Calibri" w:eastAsia="微软雅黑"/>
          <w:b/>
          <w:color w:val="23384D"/>
          <w:sz w:val="52"/>
        </w:rPr>
        <w:t>福安一期实施切片计划</w:t>
      </w:r>
    </w:p>
    <w:p>
      <w:pPr>
        <w:spacing w:after="280"/>
      </w:pPr>
      <w:r>
        <w:rPr>
          <w:rFonts w:ascii="Calibri" w:hAnsi="Calibri" w:eastAsia="微软雅黑"/>
          <w:color w:val="667085"/>
          <w:sz w:val="28"/>
        </w:rPr>
        <w:t>微信小程序与县域运营后台｜V0.1评审稿</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bottom w:w="80" w:type="dxa"/>
              <w:start w:w="120" w:type="dxa"/>
              <w:end w:w="120" w:type="dxa"/>
            </w:tcMar>
            <w:vAlign w:val="center"/>
          </w:tcPr>
          <w:p>
            <w:pPr>
              <w:spacing w:after="0"/>
            </w:pPr>
            <w:r>
              <w:rPr>
                <w:rFonts w:ascii="Calibri" w:hAnsi="Calibri" w:eastAsia="微软雅黑"/>
                <w:b/>
                <w:color w:val="23384D"/>
                <w:sz w:val="18"/>
              </w:rPr>
              <w:t>项目</w:t>
            </w:r>
          </w:p>
        </w:tc>
        <w:tc>
          <w:tcPr>
            <w:tcW w:type="dxa" w:w="7560"/>
            <w:shd w:fill="E8EEF5"/>
            <w:tcMar>
              <w:top w:w="80" w:type="dxa"/>
              <w:bottom w:w="80" w:type="dxa"/>
              <w:start w:w="120" w:type="dxa"/>
              <w:end w:w="120" w:type="dxa"/>
            </w:tcMar>
            <w:vAlign w:val="center"/>
          </w:tcPr>
          <w:p>
            <w:pPr>
              <w:spacing w:after="0"/>
            </w:pPr>
            <w:r>
              <w:rPr>
                <w:rFonts w:ascii="Calibri" w:hAnsi="Calibri" w:eastAsia="微软雅黑"/>
                <w:b/>
                <w:color w:val="23384D"/>
                <w:sz w:val="18"/>
              </w:rPr>
              <w:t>内容</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20"/>
              </w:rPr>
              <w:t>基线来源</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20"/>
              </w:rPr>
              <w:t>《福安一期范围说明书_V0.1_评审稿》与《页面清单及接口对照表_V0.1》</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20"/>
              </w:rPr>
              <w:t>计划目的</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20"/>
              </w:rPr>
              <w:t>把一期范围拆成可独立联调、演示和验收的纵向业务切片。</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20"/>
              </w:rPr>
              <w:t>切片数量</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20"/>
              </w:rPr>
              <w:t>6个；切片1详细到开发任务与专项验收，其余切片明确范围、依赖和退出门槛。</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20"/>
              </w:rPr>
              <w:t>估算方式</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20"/>
              </w:rPr>
              <w:t>当前采用相对规模XS/S/M/L，不承诺日历日期；排期需结合团队人数、并行能力和现有代码质量。</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20"/>
              </w:rPr>
              <w:t>状态</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20"/>
              </w:rPr>
              <w:t>待C01-C05范围决策和切片1接口契约确认后升级为V1.0。</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5F8FC"/>
            <w:tcMar>
              <w:top w:w="80" w:type="dxa"/>
              <w:bottom w:w="80" w:type="dxa"/>
              <w:start w:w="120" w:type="dxa"/>
              <w:end w:w="120" w:type="dxa"/>
            </w:tcMar>
            <w:vAlign w:val="center"/>
          </w:tcPr>
          <w:p>
            <w:pPr>
              <w:spacing w:after="20"/>
            </w:pPr>
            <w:r>
              <w:rPr>
                <w:rFonts w:ascii="Calibri" w:hAnsi="Calibri" w:eastAsia="微软雅黑"/>
                <w:b/>
                <w:color w:val="2E74B5"/>
                <w:sz w:val="20"/>
              </w:rPr>
              <w:t xml:space="preserve">核心原则  </w:t>
            </w:r>
            <w:r>
              <w:rPr>
                <w:rFonts w:ascii="Calibri" w:hAnsi="Calibri" w:eastAsia="微软雅黑"/>
                <w:color w:val="333333"/>
                <w:sz w:val="20"/>
              </w:rPr>
              <w:t>每个切片必须同时交付可运行页面、接口或Mock、数据规则、权限、测试用例和演示脚本。仅完成前端页面或仅完成后端接口，不算切片完成。</w:t>
            </w:r>
          </w:p>
        </w:tc>
      </w:tr>
    </w:tbl>
    <w:p>
      <w:pPr>
        <w:spacing w:after="0"/>
      </w:pPr>
    </w:p>
    <w:p>
      <w:pPr>
        <w:pStyle w:val="Heading1"/>
      </w:pPr>
      <w:r>
        <w:t>0. 切片总览</w:t>
      </w:r>
    </w:p>
    <w:tbl>
      <w:tblPr>
        <w:tblStyle w:val="TableGrid"/>
        <w:tblW w:type="dxa" w:w="9360"/>
        <w:jc w:val="left"/>
        <w:tblLayout w:type="fixed"/>
        <w:tblLook w:firstColumn="1" w:firstRow="1" w:lastColumn="0" w:lastRow="0" w:noHBand="0" w:noVBand="1" w:val="04A0"/>
        <w:tblInd w:w="120" w:type="dxa"/>
      </w:tblPr>
      <w:tblGrid>
        <w:gridCol w:w="900"/>
        <w:gridCol w:w="3900"/>
        <w:gridCol w:w="1300"/>
        <w:gridCol w:w="1100"/>
        <w:gridCol w:w="2160"/>
      </w:tblGrid>
      <w:tr>
        <w:trPr>
          <w:tblHeader w:val="true"/>
        </w:trPr>
        <w:tc>
          <w:tcPr>
            <w:tcW w:type="dxa" w:w="900"/>
            <w:shd w:fill="E8EEF5"/>
            <w:tcMar>
              <w:top w:w="80" w:type="dxa"/>
              <w:bottom w:w="80" w:type="dxa"/>
              <w:start w:w="120" w:type="dxa"/>
              <w:end w:w="120" w:type="dxa"/>
            </w:tcMar>
            <w:vAlign w:val="center"/>
          </w:tcPr>
          <w:p>
            <w:pPr>
              <w:spacing w:after="0"/>
            </w:pPr>
            <w:r>
              <w:rPr>
                <w:rFonts w:ascii="Calibri" w:hAnsi="Calibri" w:eastAsia="微软雅黑"/>
                <w:b/>
                <w:color w:val="23384D"/>
                <w:sz w:val="18"/>
              </w:rPr>
              <w:t>切片</w:t>
            </w:r>
          </w:p>
        </w:tc>
        <w:tc>
          <w:tcPr>
            <w:tcW w:type="dxa" w:w="3900"/>
            <w:shd w:fill="E8EEF5"/>
            <w:tcMar>
              <w:top w:w="80" w:type="dxa"/>
              <w:bottom w:w="80" w:type="dxa"/>
              <w:start w:w="120" w:type="dxa"/>
              <w:end w:w="120" w:type="dxa"/>
            </w:tcMar>
            <w:vAlign w:val="center"/>
          </w:tcPr>
          <w:p>
            <w:pPr>
              <w:spacing w:after="0"/>
            </w:pPr>
            <w:r>
              <w:rPr>
                <w:rFonts w:ascii="Calibri" w:hAnsi="Calibri" w:eastAsia="微软雅黑"/>
                <w:b/>
                <w:color w:val="23384D"/>
                <w:sz w:val="18"/>
              </w:rPr>
              <w:t>业务结果</w:t>
            </w:r>
          </w:p>
        </w:tc>
        <w:tc>
          <w:tcPr>
            <w:tcW w:type="dxa" w:w="1300"/>
            <w:shd w:fill="E8EEF5"/>
            <w:tcMar>
              <w:top w:w="80" w:type="dxa"/>
              <w:bottom w:w="80" w:type="dxa"/>
              <w:start w:w="120" w:type="dxa"/>
              <w:end w:w="120" w:type="dxa"/>
            </w:tcMar>
            <w:vAlign w:val="center"/>
          </w:tcPr>
          <w:p>
            <w:pPr>
              <w:spacing w:after="0"/>
            </w:pPr>
            <w:r>
              <w:rPr>
                <w:rFonts w:ascii="Calibri" w:hAnsi="Calibri" w:eastAsia="微软雅黑"/>
                <w:b/>
                <w:color w:val="23384D"/>
                <w:sz w:val="18"/>
              </w:rPr>
              <w:t>主要端</w:t>
            </w:r>
          </w:p>
        </w:tc>
        <w:tc>
          <w:tcPr>
            <w:tcW w:type="dxa" w:w="1100"/>
            <w:shd w:fill="E8EEF5"/>
            <w:tcMar>
              <w:top w:w="80" w:type="dxa"/>
              <w:bottom w:w="80" w:type="dxa"/>
              <w:start w:w="120" w:type="dxa"/>
              <w:end w:w="120" w:type="dxa"/>
            </w:tcMar>
            <w:vAlign w:val="center"/>
          </w:tcPr>
          <w:p>
            <w:pPr>
              <w:spacing w:after="0"/>
            </w:pPr>
            <w:r>
              <w:rPr>
                <w:rFonts w:ascii="Calibri" w:hAnsi="Calibri" w:eastAsia="微软雅黑"/>
                <w:b/>
                <w:color w:val="23384D"/>
                <w:sz w:val="18"/>
              </w:rPr>
              <w:t>相对规模</w:t>
            </w:r>
          </w:p>
        </w:tc>
        <w:tc>
          <w:tcPr>
            <w:tcW w:type="dxa" w:w="2160"/>
            <w:shd w:fill="E8EEF5"/>
            <w:tcMar>
              <w:top w:w="80" w:type="dxa"/>
              <w:bottom w:w="80" w:type="dxa"/>
              <w:start w:w="120" w:type="dxa"/>
              <w:end w:w="120" w:type="dxa"/>
            </w:tcMar>
            <w:vAlign w:val="center"/>
          </w:tcPr>
          <w:p>
            <w:pPr>
              <w:spacing w:after="0"/>
            </w:pPr>
            <w:r>
              <w:rPr>
                <w:rFonts w:ascii="Calibri" w:hAnsi="Calibri" w:eastAsia="微软雅黑"/>
                <w:b/>
                <w:color w:val="23384D"/>
                <w:sz w:val="18"/>
              </w:rPr>
              <w:t>依赖关系</w:t>
            </w:r>
          </w:p>
        </w:tc>
      </w:tr>
      <w:tr>
        <w:trPr>
          <w:cantSplit/>
        </w:trPr>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w:t>
            </w:r>
          </w:p>
        </w:tc>
        <w:tc>
          <w:tcPr>
            <w:tcW w:type="dxa" w:w="3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运营人员可登录、恢复会话并通过工作台查看指标和待办。</w:t>
            </w:r>
          </w:p>
        </w:tc>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运营后台</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M</w:t>
            </w:r>
          </w:p>
        </w:tc>
        <w:tc>
          <w:tcPr>
            <w:tcW w:type="dxa" w:w="21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统一信封、认证与租户配置</w:t>
            </w:r>
          </w:p>
        </w:tc>
      </w:tr>
      <w:tr>
        <w:trPr>
          <w:cantSplit/>
        </w:trPr>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S2</w:t>
            </w:r>
          </w:p>
        </w:tc>
        <w:tc>
          <w:tcPr>
            <w:tcW w:type="dxa" w:w="3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小程序用户可登录福安上下文、查看首页并管理当前身份。</w:t>
            </w:r>
          </w:p>
        </w:tc>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小程序</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M</w:t>
            </w:r>
          </w:p>
        </w:tc>
        <w:tc>
          <w:tcPr>
            <w:tcW w:type="dxa" w:w="21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S1共享认证/租户契约</w:t>
            </w:r>
          </w:p>
        </w:tc>
      </w:tr>
      <w:tr>
        <w:trPr>
          <w:cantSplit/>
        </w:trPr>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S3</w:t>
            </w:r>
          </w:p>
        </w:tc>
        <w:tc>
          <w:tcPr>
            <w:tcW w:type="dxa" w:w="3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种植户可建档地块，运营人员可核验并反馈结果。</w:t>
            </w:r>
          </w:p>
        </w:tc>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双端</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L</w:t>
            </w:r>
          </w:p>
        </w:tc>
        <w:tc>
          <w:tcPr>
            <w:tcW w:type="dxa" w:w="21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S2身份；地块字段与状态机</w:t>
            </w:r>
          </w:p>
        </w:tc>
      </w:tr>
      <w:tr>
        <w:trPr>
          <w:cantSplit/>
        </w:trPr>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S4</w:t>
            </w:r>
          </w:p>
        </w:tc>
        <w:tc>
          <w:tcPr>
            <w:tcW w:type="dxa" w:w="3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服务需求可被分派、签到、履约和验收，形成最小闭环。</w:t>
            </w:r>
          </w:p>
        </w:tc>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双端</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L</w:t>
            </w:r>
          </w:p>
        </w:tc>
        <w:tc>
          <w:tcPr>
            <w:tcW w:type="dxa" w:w="21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S3地块；C01；团队与附件契约</w:t>
            </w:r>
          </w:p>
        </w:tc>
      </w:tr>
      <w:tr>
        <w:trPr>
          <w:cantSplit/>
        </w:trPr>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S5</w:t>
            </w:r>
          </w:p>
        </w:tc>
        <w:tc>
          <w:tcPr>
            <w:tcW w:type="dxa" w:w="3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农事记录可离线同步，消息和地图提供闭环辅助。</w:t>
            </w:r>
          </w:p>
        </w:tc>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小程序为主</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L</w:t>
            </w:r>
          </w:p>
        </w:tc>
        <w:tc>
          <w:tcPr>
            <w:tcW w:type="dxa" w:w="21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S3/S4数据；消息和脱敏规则</w:t>
            </w:r>
          </w:p>
        </w:tc>
      </w:tr>
      <w:tr>
        <w:trPr>
          <w:cantSplit/>
        </w:trPr>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S6</w:t>
            </w:r>
          </w:p>
        </w:tc>
        <w:tc>
          <w:tcPr>
            <w:tcW w:type="dxa" w:w="3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会员、供需、配置、审计提权达到一期运营完整度。</w:t>
            </w:r>
          </w:p>
        </w:tc>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运营后台</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L</w:t>
            </w:r>
          </w:p>
        </w:tc>
        <w:tc>
          <w:tcPr>
            <w:tcW w:type="dxa" w:w="21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供需来源、配置审批和权限矩阵</w:t>
            </w:r>
          </w:p>
        </w:tc>
      </w:tr>
    </w:tbl>
    <w:p>
      <w:pPr>
        <w:spacing w:after="0"/>
      </w:pPr>
    </w:p>
    <w:p>
      <w:pPr>
        <w:pStyle w:val="Heading2"/>
      </w:pPr>
      <w:r>
        <w:t>0.1 关键路径</w:t>
      </w:r>
    </w:p>
    <w:p>
      <w:pPr>
        <w:pStyle w:val="ListBullet"/>
        <w:spacing w:after="80" w:line="300" w:lineRule="auto"/>
      </w:pPr>
      <w:r>
        <w:rPr>
          <w:rFonts w:ascii="Calibri" w:hAnsi="Calibri" w:eastAsia="微软雅黑"/>
          <w:sz w:val="22"/>
        </w:rPr>
        <w:t>S1冻结通用认证、租户与响应契约，成为后续所有切片的技术基线。</w:t>
      </w:r>
    </w:p>
    <w:p>
      <w:pPr>
        <w:pStyle w:val="ListBullet"/>
        <w:spacing w:after="80" w:line="300" w:lineRule="auto"/>
      </w:pPr>
      <w:r>
        <w:rPr>
          <w:rFonts w:ascii="Calibri" w:hAnsi="Calibri" w:eastAsia="微软雅黑"/>
          <w:sz w:val="22"/>
        </w:rPr>
        <w:t>S2建立小程序用户与身份上下文；S3在此基础上完成地块业务对象。</w:t>
      </w:r>
    </w:p>
    <w:p>
      <w:pPr>
        <w:pStyle w:val="ListBullet"/>
        <w:spacing w:after="80" w:line="300" w:lineRule="auto"/>
      </w:pPr>
      <w:r>
        <w:rPr>
          <w:rFonts w:ascii="Calibri" w:hAnsi="Calibri" w:eastAsia="微软雅黑"/>
          <w:sz w:val="22"/>
        </w:rPr>
        <w:t>S4依赖可用地块形成农事服务闭环，是一期业务价值的核心切片。</w:t>
      </w:r>
    </w:p>
    <w:p>
      <w:pPr>
        <w:pStyle w:val="ListBullet"/>
        <w:spacing w:after="80" w:line="300" w:lineRule="auto"/>
      </w:pPr>
      <w:r>
        <w:rPr>
          <w:rFonts w:ascii="Calibri" w:hAnsi="Calibri" w:eastAsia="微软雅黑"/>
          <w:sz w:val="22"/>
        </w:rPr>
        <w:t>S5补齐弱网、记录、消息和地图能力；S6完成运营治理与高风险审批能力。</w:t>
      </w:r>
    </w:p>
    <w:p>
      <w:pPr>
        <w:pStyle w:val="Heading2"/>
      </w:pPr>
      <w:r>
        <w:t>0.2 全局进入与完成标准</w:t>
      </w:r>
    </w:p>
    <w:tbl>
      <w:tblPr>
        <w:tblStyle w:val="TableGrid"/>
        <w:tblW w:type="dxa" w:w="9360"/>
        <w:jc w:val="left"/>
        <w:tblLayout w:type="fixed"/>
        <w:tblLook w:firstColumn="1" w:firstRow="1" w:lastColumn="0" w:lastRow="0" w:noHBand="0" w:noVBand="1" w:val="04A0"/>
        <w:tblInd w:w="120" w:type="dxa"/>
      </w:tblPr>
      <w:tblGrid>
        <w:gridCol w:w="1250"/>
        <w:gridCol w:w="4055"/>
        <w:gridCol w:w="4055"/>
      </w:tblGrid>
      <w:tr>
        <w:trPr>
          <w:tblHeader w:val="true"/>
        </w:trPr>
        <w:tc>
          <w:tcPr>
            <w:tcW w:type="dxa" w:w="1250"/>
            <w:shd w:fill="E8EEF5"/>
            <w:tcMar>
              <w:top w:w="80" w:type="dxa"/>
              <w:bottom w:w="80" w:type="dxa"/>
              <w:start w:w="120" w:type="dxa"/>
              <w:end w:w="120" w:type="dxa"/>
            </w:tcMar>
            <w:vAlign w:val="center"/>
          </w:tcPr>
          <w:p>
            <w:pPr>
              <w:spacing w:after="0"/>
            </w:pPr>
            <w:r>
              <w:rPr>
                <w:rFonts w:ascii="Calibri" w:hAnsi="Calibri" w:eastAsia="微软雅黑"/>
                <w:b/>
                <w:color w:val="23384D"/>
                <w:sz w:val="18"/>
              </w:rPr>
              <w:t>门槛</w:t>
            </w:r>
          </w:p>
        </w:tc>
        <w:tc>
          <w:tcPr>
            <w:tcW w:type="dxa" w:w="4055"/>
            <w:shd w:fill="E8EEF5"/>
            <w:tcMar>
              <w:top w:w="80" w:type="dxa"/>
              <w:bottom w:w="80" w:type="dxa"/>
              <w:start w:w="120" w:type="dxa"/>
              <w:end w:w="120" w:type="dxa"/>
            </w:tcMar>
            <w:vAlign w:val="center"/>
          </w:tcPr>
          <w:p>
            <w:pPr>
              <w:spacing w:after="0"/>
            </w:pPr>
            <w:r>
              <w:rPr>
                <w:rFonts w:ascii="Calibri" w:hAnsi="Calibri" w:eastAsia="微软雅黑"/>
                <w:b/>
                <w:color w:val="23384D"/>
                <w:sz w:val="18"/>
              </w:rPr>
              <w:t>进入切片（Definition of Ready）</w:t>
            </w:r>
          </w:p>
        </w:tc>
        <w:tc>
          <w:tcPr>
            <w:tcW w:type="dxa" w:w="4055"/>
            <w:shd w:fill="E8EEF5"/>
            <w:tcMar>
              <w:top w:w="80" w:type="dxa"/>
              <w:bottom w:w="80" w:type="dxa"/>
              <w:start w:w="120" w:type="dxa"/>
              <w:end w:w="120" w:type="dxa"/>
            </w:tcMar>
            <w:vAlign w:val="center"/>
          </w:tcPr>
          <w:p>
            <w:pPr>
              <w:spacing w:after="0"/>
            </w:pPr>
            <w:r>
              <w:rPr>
                <w:rFonts w:ascii="Calibri" w:hAnsi="Calibri" w:eastAsia="微软雅黑"/>
                <w:b/>
                <w:color w:val="23384D"/>
                <w:sz w:val="18"/>
              </w:rPr>
              <w:t>完成切片（Definition of Done）</w:t>
            </w:r>
          </w:p>
        </w:tc>
      </w:tr>
      <w:tr>
        <w:trPr>
          <w:cantSplit/>
        </w:trPr>
        <w:tc>
          <w:tcPr>
            <w:tcW w:type="dxa" w:w="125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范围</w:t>
            </w:r>
          </w:p>
        </w:tc>
        <w:tc>
          <w:tcPr>
            <w:tcW w:type="dxa" w:w="4055"/>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页面、角色、流程、状态、排除项已评审。</w:t>
            </w:r>
          </w:p>
        </w:tc>
        <w:tc>
          <w:tcPr>
            <w:tcW w:type="dxa" w:w="4055"/>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演示结果与范围一致，无二期依赖。</w:t>
            </w:r>
          </w:p>
        </w:tc>
      </w:tr>
      <w:tr>
        <w:trPr>
          <w:cantSplit/>
        </w:trPr>
        <w:tc>
          <w:tcPr>
            <w:tcW w:type="dxa" w:w="125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设计</w:t>
            </w:r>
          </w:p>
        </w:tc>
        <w:tc>
          <w:tcPr>
            <w:tcW w:type="dxa" w:w="4055"/>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核心页面原型、字段、空/错/无权限状态齐全。</w:t>
            </w:r>
          </w:p>
        </w:tc>
        <w:tc>
          <w:tcPr>
            <w:tcW w:type="dxa" w:w="4055"/>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设计走查通过，关键交互无临时占位。</w:t>
            </w:r>
          </w:p>
        </w:tc>
      </w:tr>
      <w:tr>
        <w:trPr>
          <w:cantSplit/>
        </w:trPr>
        <w:tc>
          <w:tcPr>
            <w:tcW w:type="dxa" w:w="125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接口</w:t>
            </w:r>
          </w:p>
        </w:tc>
        <w:tc>
          <w:tcPr>
            <w:tcW w:type="dxa" w:w="4055"/>
            <w:tcMar>
              <w:top w:w="80" w:type="dxa"/>
              <w:bottom w:w="80" w:type="dxa"/>
              <w:start w:w="120" w:type="dxa"/>
              <w:end w:w="120" w:type="dxa"/>
            </w:tcMar>
            <w:vAlign w:val="center"/>
          </w:tcPr>
          <w:p>
            <w:pPr>
              <w:spacing w:after="40" w:line="259" w:lineRule="auto"/>
            </w:pPr>
            <w:r>
              <w:rPr>
                <w:rFonts w:ascii="Calibri" w:hAnsi="Calibri" w:eastAsia="微软雅黑"/>
                <w:color w:val="222222"/>
                <w:sz w:val="18"/>
              </w:rPr>
              <w:t>OpenAPI、错误码、幂等、Mock样例冻结。</w:t>
            </w:r>
          </w:p>
        </w:tc>
        <w:tc>
          <w:tcPr>
            <w:tcW w:type="dxa" w:w="4055"/>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契约测试通过，Mock与真实接口信封一致。</w:t>
            </w:r>
          </w:p>
        </w:tc>
      </w:tr>
      <w:tr>
        <w:trPr>
          <w:cantSplit/>
        </w:trPr>
        <w:tc>
          <w:tcPr>
            <w:tcW w:type="dxa" w:w="125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数据</w:t>
            </w:r>
          </w:p>
        </w:tc>
        <w:tc>
          <w:tcPr>
            <w:tcW w:type="dxa" w:w="4055"/>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样例数据、枚举、脱敏与迁移规则明确。</w:t>
            </w:r>
          </w:p>
        </w:tc>
        <w:tc>
          <w:tcPr>
            <w:tcW w:type="dxa" w:w="4055"/>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测试数据可复现，敏感数据检查通过。</w:t>
            </w:r>
          </w:p>
        </w:tc>
      </w:tr>
      <w:tr>
        <w:trPr>
          <w:cantSplit/>
        </w:trPr>
        <w:tc>
          <w:tcPr>
            <w:tcW w:type="dxa" w:w="125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测试</w:t>
            </w:r>
          </w:p>
        </w:tc>
        <w:tc>
          <w:tcPr>
            <w:tcW w:type="dxa" w:w="4055"/>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验收用例和负责人明确。</w:t>
            </w:r>
          </w:p>
        </w:tc>
        <w:tc>
          <w:tcPr>
            <w:tcW w:type="dxa" w:w="4055"/>
            <w:tcMar>
              <w:top w:w="80" w:type="dxa"/>
              <w:bottom w:w="80" w:type="dxa"/>
              <w:start w:w="120" w:type="dxa"/>
              <w:end w:w="120" w:type="dxa"/>
            </w:tcMar>
            <w:vAlign w:val="center"/>
          </w:tcPr>
          <w:p>
            <w:pPr>
              <w:spacing w:after="40" w:line="259" w:lineRule="auto"/>
            </w:pPr>
            <w:r>
              <w:rPr>
                <w:rFonts w:ascii="Calibri" w:hAnsi="Calibri" w:eastAsia="微软雅黑"/>
                <w:color w:val="222222"/>
                <w:sz w:val="18"/>
              </w:rPr>
              <w:t>P0/P1用例通过，无阻断缺陷，回归记录完整。</w:t>
            </w:r>
          </w:p>
        </w:tc>
      </w:tr>
      <w:tr>
        <w:trPr>
          <w:cantSplit/>
        </w:trPr>
        <w:tc>
          <w:tcPr>
            <w:tcW w:type="dxa" w:w="125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运维</w:t>
            </w:r>
          </w:p>
        </w:tc>
        <w:tc>
          <w:tcPr>
            <w:tcW w:type="dxa" w:w="4055"/>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日志、traceId和开关策略明确。</w:t>
            </w:r>
          </w:p>
        </w:tc>
        <w:tc>
          <w:tcPr>
            <w:tcW w:type="dxa" w:w="4055"/>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可观测、可关闭、可回滚，交付说明更新。</w:t>
            </w:r>
          </w:p>
        </w:tc>
      </w:tr>
    </w:tbl>
    <w:p>
      <w:pPr>
        <w:spacing w:after="0"/>
      </w:pPr>
    </w:p>
    <w:p>
      <w:pPr>
        <w:pStyle w:val="Heading1"/>
      </w:pPr>
      <w:r>
        <w:t>1. 切片1：后台登录与运营工作台</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6EE"/>
            <w:tcMar>
              <w:top w:w="80" w:type="dxa"/>
              <w:bottom w:w="80" w:type="dxa"/>
              <w:start w:w="120" w:type="dxa"/>
              <w:end w:w="120" w:type="dxa"/>
            </w:tcMar>
            <w:vAlign w:val="center"/>
          </w:tcPr>
          <w:p>
            <w:pPr>
              <w:spacing w:after="20"/>
            </w:pPr>
            <w:r>
              <w:rPr>
                <w:rFonts w:ascii="Calibri" w:hAnsi="Calibri" w:eastAsia="微软雅黑"/>
                <w:b/>
                <w:color w:val="25633A"/>
                <w:sz w:val="20"/>
              </w:rPr>
              <w:t xml:space="preserve">可演示结果  </w:t>
            </w:r>
            <w:r>
              <w:rPr>
                <w:rFonts w:ascii="Calibri" w:hAnsi="Calibri" w:eastAsia="微软雅黑"/>
                <w:color w:val="333333"/>
                <w:sz w:val="20"/>
              </w:rPr>
              <w:t>运营人员使用Mock验证码登录，系统恢复福安管理员会话，展示七大指标域、近7日趋势和五类待办；异常时可重试，token过期回到登录，退出后受保护页面不可访问。</w:t>
            </w:r>
          </w:p>
        </w:tc>
      </w:tr>
    </w:tbl>
    <w:p>
      <w:pPr>
        <w:spacing w:after="0"/>
      </w:pPr>
    </w:p>
    <w:p>
      <w:pPr>
        <w:pStyle w:val="Heading2"/>
      </w:pPr>
      <w:r>
        <w:t>1.1 范围与排除</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bottom w:w="80" w:type="dxa"/>
              <w:start w:w="120" w:type="dxa"/>
              <w:end w:w="120" w:type="dxa"/>
            </w:tcMar>
            <w:vAlign w:val="center"/>
          </w:tcPr>
          <w:p>
            <w:pPr>
              <w:spacing w:after="0"/>
            </w:pPr>
            <w:r>
              <w:rPr>
                <w:rFonts w:ascii="Calibri" w:hAnsi="Calibri" w:eastAsia="微软雅黑"/>
                <w:b/>
                <w:color w:val="23384D"/>
                <w:sz w:val="18"/>
              </w:rPr>
              <w:t>纳入</w:t>
            </w:r>
          </w:p>
        </w:tc>
        <w:tc>
          <w:tcPr>
            <w:tcW w:type="dxa" w:w="4680"/>
            <w:shd w:fill="E8EEF5"/>
            <w:tcMar>
              <w:top w:w="80" w:type="dxa"/>
              <w:bottom w:w="80" w:type="dxa"/>
              <w:start w:w="120" w:type="dxa"/>
              <w:end w:w="120" w:type="dxa"/>
            </w:tcMar>
            <w:vAlign w:val="center"/>
          </w:tcPr>
          <w:p>
            <w:pPr>
              <w:spacing w:after="0"/>
            </w:pPr>
            <w:r>
              <w:rPr>
                <w:rFonts w:ascii="Calibri" w:hAnsi="Calibri" w:eastAsia="微软雅黑"/>
                <w:b/>
                <w:color w:val="23384D"/>
                <w:sz w:val="18"/>
              </w:rPr>
              <w:t>不纳入</w:t>
            </w:r>
          </w:p>
        </w:tc>
      </w:tr>
      <w:tr>
        <w:trPr>
          <w:cantSplit/>
        </w:trPr>
        <w:tc>
          <w:tcPr>
            <w:tcW w:type="dxa" w:w="4680"/>
            <w:tcMar>
              <w:top w:w="80" w:type="dxa"/>
              <w:bottom w:w="80" w:type="dxa"/>
              <w:start w:w="120" w:type="dxa"/>
              <w:end w:w="120" w:type="dxa"/>
            </w:tcMar>
            <w:vAlign w:val="center"/>
          </w:tcPr>
          <w:p>
            <w:pPr>
              <w:spacing w:after="40" w:line="259" w:lineRule="auto"/>
            </w:pPr>
            <w:r>
              <w:rPr>
                <w:rFonts w:ascii="Calibri" w:hAnsi="Calibri" w:eastAsia="微软雅黑"/>
                <w:color w:val="222222"/>
                <w:sz w:val="19"/>
              </w:rPr>
              <w:t>/login登录页；/运营工作台；会话恢复；退出登录；福安上下文；七大指标域；近7日趋势；五类待办摘要；失败重试；基础路由守卫。</w:t>
            </w:r>
          </w:p>
        </w:tc>
        <w:tc>
          <w:tcPr>
            <w:tcW w:type="dxa" w:w="4680"/>
            <w:tcMar>
              <w:top w:w="80" w:type="dxa"/>
              <w:bottom w:w="80" w:type="dxa"/>
              <w:start w:w="120" w:type="dxa"/>
              <w:end w:w="120" w:type="dxa"/>
            </w:tcMar>
            <w:vAlign w:val="center"/>
          </w:tcPr>
          <w:p>
            <w:pPr>
              <w:spacing w:after="40" w:line="259" w:lineRule="auto"/>
            </w:pPr>
            <w:r>
              <w:rPr>
                <w:rFonts w:ascii="Calibri" w:hAnsi="Calibri" w:eastAsia="微软雅黑"/>
                <w:color w:val="222222"/>
                <w:sz w:val="19"/>
              </w:rPr>
              <w:t>会员、地块、服务、供需、配置、审计的处理页面；真实短信服务；财务与追溯；退款；跨县选择；复杂报表与导出。</w:t>
            </w:r>
          </w:p>
        </w:tc>
      </w:tr>
    </w:tbl>
    <w:p>
      <w:pPr>
        <w:spacing w:after="0"/>
      </w:pPr>
    </w:p>
    <w:p>
      <w:pPr>
        <w:pStyle w:val="Heading2"/>
      </w:pPr>
      <w:r>
        <w:t>1.2 用户故事</w:t>
      </w:r>
    </w:p>
    <w:tbl>
      <w:tblPr>
        <w:tblStyle w:val="TableGrid"/>
        <w:tblW w:type="dxa" w:w="9360"/>
        <w:jc w:val="left"/>
        <w:tblLayout w:type="fixed"/>
        <w:tblLook w:firstColumn="1" w:firstRow="1" w:lastColumn="0" w:lastRow="0" w:noHBand="0" w:noVBand="1" w:val="04A0"/>
        <w:tblInd w:w="120" w:type="dxa"/>
      </w:tblPr>
      <w:tblGrid>
        <w:gridCol w:w="1050"/>
        <w:gridCol w:w="5110"/>
        <w:gridCol w:w="3200"/>
      </w:tblGrid>
      <w:tr>
        <w:trPr>
          <w:tblHeader w:val="true"/>
        </w:trPr>
        <w:tc>
          <w:tcPr>
            <w:tcW w:type="dxa" w:w="1050"/>
            <w:shd w:fill="E8EEF5"/>
            <w:tcMar>
              <w:top w:w="80" w:type="dxa"/>
              <w:bottom w:w="80" w:type="dxa"/>
              <w:start w:w="120" w:type="dxa"/>
              <w:end w:w="120" w:type="dxa"/>
            </w:tcMar>
            <w:vAlign w:val="center"/>
          </w:tcPr>
          <w:p>
            <w:pPr>
              <w:spacing w:after="0"/>
            </w:pPr>
            <w:r>
              <w:rPr>
                <w:rFonts w:ascii="Calibri" w:hAnsi="Calibri" w:eastAsia="微软雅黑"/>
                <w:b/>
                <w:color w:val="23384D"/>
                <w:sz w:val="18"/>
              </w:rPr>
              <w:t>ID</w:t>
            </w:r>
          </w:p>
        </w:tc>
        <w:tc>
          <w:tcPr>
            <w:tcW w:type="dxa" w:w="5110"/>
            <w:shd w:fill="E8EEF5"/>
            <w:tcMar>
              <w:top w:w="80" w:type="dxa"/>
              <w:bottom w:w="80" w:type="dxa"/>
              <w:start w:w="120" w:type="dxa"/>
              <w:end w:w="120" w:type="dxa"/>
            </w:tcMar>
            <w:vAlign w:val="center"/>
          </w:tcPr>
          <w:p>
            <w:pPr>
              <w:spacing w:after="0"/>
            </w:pPr>
            <w:r>
              <w:rPr>
                <w:rFonts w:ascii="Calibri" w:hAnsi="Calibri" w:eastAsia="微软雅黑"/>
                <w:b/>
                <w:color w:val="23384D"/>
                <w:sz w:val="18"/>
              </w:rPr>
              <w:t>用户故事</w:t>
            </w:r>
          </w:p>
        </w:tc>
        <w:tc>
          <w:tcPr>
            <w:tcW w:type="dxa" w:w="3200"/>
            <w:shd w:fill="E8EEF5"/>
            <w:tcMar>
              <w:top w:w="80" w:type="dxa"/>
              <w:bottom w:w="80" w:type="dxa"/>
              <w:start w:w="120" w:type="dxa"/>
              <w:end w:w="120" w:type="dxa"/>
            </w:tcMar>
            <w:vAlign w:val="center"/>
          </w:tcPr>
          <w:p>
            <w:pPr>
              <w:spacing w:after="0"/>
            </w:pPr>
            <w:r>
              <w:rPr>
                <w:rFonts w:ascii="Calibri" w:hAnsi="Calibri" w:eastAsia="微软雅黑"/>
                <w:b/>
                <w:color w:val="23384D"/>
                <w:sz w:val="18"/>
              </w:rPr>
              <w:t>验收重点</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S1-US01</w:t>
            </w:r>
          </w:p>
        </w:tc>
        <w:tc>
          <w:tcPr>
            <w:tcW w:type="dxa" w:w="51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作为县域运营人员，我可以使用手机号和验证码登录后台。</w:t>
            </w:r>
          </w:p>
        </w:tc>
        <w:tc>
          <w:tcPr>
            <w:tcW w:type="dxa" w:w="32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成功、错误验证码、重复提交、加载反馈。</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S1-US02</w:t>
            </w:r>
          </w:p>
        </w:tc>
        <w:tc>
          <w:tcPr>
            <w:tcW w:type="dxa" w:w="51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作为已登录运营人员，我刷新页面后仍能恢复会话。</w:t>
            </w:r>
          </w:p>
        </w:tc>
        <w:tc>
          <w:tcPr>
            <w:tcW w:type="dxa" w:w="32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users/me成功与401分支。</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S1-US03</w:t>
            </w:r>
          </w:p>
        </w:tc>
        <w:tc>
          <w:tcPr>
            <w:tcW w:type="dxa" w:w="51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作为运营人员，我能确认当前为福安市上下文。</w:t>
            </w:r>
          </w:p>
        </w:tc>
        <w:tc>
          <w:tcPr>
            <w:tcW w:type="dxa" w:w="32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tenantCode=fuan、countyCode=350981、功能开关。</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S1-US04</w:t>
            </w:r>
          </w:p>
        </w:tc>
        <w:tc>
          <w:tcPr>
            <w:tcW w:type="dxa" w:w="51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作为运营人员，我能查看七大指标域及近7日趋势。</w:t>
            </w:r>
          </w:p>
        </w:tc>
        <w:tc>
          <w:tcPr>
            <w:tcW w:type="dxa" w:w="32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字段稳定、空值为0、时间口径明确。</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S1-US05</w:t>
            </w:r>
          </w:p>
        </w:tc>
        <w:tc>
          <w:tcPr>
            <w:tcW w:type="dxa" w:w="51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作为运营人员，我能看到五类待办并按条件跳转。</w:t>
            </w:r>
          </w:p>
        </w:tc>
        <w:tc>
          <w:tcPr>
            <w:tcW w:type="dxa" w:w="32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计数、筛选条件、下游未实现时的处理。</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S1-US06</w:t>
            </w:r>
          </w:p>
        </w:tc>
        <w:tc>
          <w:tcPr>
            <w:tcW w:type="dxa" w:w="51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作为运营人员，我能从接口错误中重试，并安全退出。</w:t>
            </w:r>
          </w:p>
        </w:tc>
        <w:tc>
          <w:tcPr>
            <w:tcW w:type="dxa" w:w="32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错误信息、重试、缓存清理、路由保护。</w:t>
            </w:r>
          </w:p>
        </w:tc>
      </w:tr>
    </w:tbl>
    <w:p>
      <w:pPr>
        <w:spacing w:after="0"/>
      </w:pPr>
    </w:p>
    <w:p>
      <w:pPr>
        <w:pStyle w:val="Heading2"/>
      </w:pPr>
      <w:r>
        <w:t>1.3 页面与状态</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Mar>
              <w:top w:w="80" w:type="dxa"/>
              <w:bottom w:w="80" w:type="dxa"/>
              <w:start w:w="120" w:type="dxa"/>
              <w:end w:w="120" w:type="dxa"/>
            </w:tcMar>
            <w:vAlign w:val="center"/>
          </w:tcPr>
          <w:p>
            <w:pPr>
              <w:spacing w:after="0"/>
            </w:pPr>
            <w:r>
              <w:rPr>
                <w:rFonts w:ascii="Calibri" w:hAnsi="Calibri" w:eastAsia="微软雅黑"/>
                <w:b/>
                <w:color w:val="23384D"/>
                <w:sz w:val="18"/>
              </w:rPr>
              <w:t>页面/组件</w:t>
            </w:r>
          </w:p>
        </w:tc>
        <w:tc>
          <w:tcPr>
            <w:tcW w:type="dxa" w:w="3000"/>
            <w:shd w:fill="E8EEF5"/>
            <w:tcMar>
              <w:top w:w="80" w:type="dxa"/>
              <w:bottom w:w="80" w:type="dxa"/>
              <w:start w:w="120" w:type="dxa"/>
              <w:end w:w="120" w:type="dxa"/>
            </w:tcMar>
            <w:vAlign w:val="center"/>
          </w:tcPr>
          <w:p>
            <w:pPr>
              <w:spacing w:after="0"/>
            </w:pPr>
            <w:r>
              <w:rPr>
                <w:rFonts w:ascii="Calibri" w:hAnsi="Calibri" w:eastAsia="微软雅黑"/>
                <w:b/>
                <w:color w:val="23384D"/>
                <w:sz w:val="18"/>
              </w:rPr>
              <w:t>必须状态</w:t>
            </w:r>
          </w:p>
        </w:tc>
        <w:tc>
          <w:tcPr>
            <w:tcW w:type="dxa" w:w="4560"/>
            <w:shd w:fill="E8EEF5"/>
            <w:tcMar>
              <w:top w:w="80" w:type="dxa"/>
              <w:bottom w:w="80" w:type="dxa"/>
              <w:start w:w="120" w:type="dxa"/>
              <w:end w:w="120" w:type="dxa"/>
            </w:tcMar>
            <w:vAlign w:val="center"/>
          </w:tcPr>
          <w:p>
            <w:pPr>
              <w:spacing w:after="0"/>
            </w:pPr>
            <w:r>
              <w:rPr>
                <w:rFonts w:ascii="Calibri" w:hAnsi="Calibri" w:eastAsia="微软雅黑"/>
                <w:b/>
                <w:color w:val="23384D"/>
                <w:sz w:val="18"/>
              </w:rPr>
              <w:t>关键交互</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登录页 /login</w:t>
            </w:r>
          </w:p>
        </w:tc>
        <w:tc>
          <w:tcPr>
            <w:tcW w:type="dxa" w:w="30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初始、输入中、提交中、验证码错误、网络错误、已登录重定向</w:t>
            </w:r>
          </w:p>
        </w:tc>
        <w:tc>
          <w:tcPr>
            <w:tcW w:type="dxa" w:w="4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手机号校验；验证码000000；防重复提交；错误后保留手机号。</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工作台 /</w:t>
            </w:r>
          </w:p>
        </w:tc>
        <w:tc>
          <w:tcPr>
            <w:tcW w:type="dxa" w:w="30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加载、成功、指标空、趋势空、待办空、部分失败、整体失败</w:t>
            </w:r>
          </w:p>
        </w:tc>
        <w:tc>
          <w:tcPr>
            <w:tcW w:type="dxa" w:w="4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刷新；失败重试；待办点击；显示福安上下文。</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路由守卫</w:t>
            </w:r>
          </w:p>
        </w:tc>
        <w:tc>
          <w:tcPr>
            <w:tcW w:type="dxa" w:w="30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无token、token有效、token过期、权限不足</w:t>
            </w:r>
          </w:p>
        </w:tc>
        <w:tc>
          <w:tcPr>
            <w:tcW w:type="dxa" w:w="4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未登录回/login；401清会话；403展示无权限。</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全局会话</w:t>
            </w:r>
          </w:p>
        </w:tc>
        <w:tc>
          <w:tcPr>
            <w:tcW w:type="dxa" w:w="30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恢复中、已恢复、恢复失败、退出中</w:t>
            </w:r>
          </w:p>
        </w:tc>
        <w:tc>
          <w:tcPr>
            <w:tcW w:type="dxa" w:w="4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启动时users/me；退出清理token、用户、权限和缓存。</w:t>
            </w:r>
          </w:p>
        </w:tc>
      </w:tr>
    </w:tbl>
    <w:p>
      <w:pPr>
        <w:spacing w:after="0"/>
      </w:pPr>
    </w:p>
    <w:p>
      <w:pPr>
        <w:pStyle w:val="Heading2"/>
      </w:pPr>
      <w:r>
        <w:t>1.4 接口契约</w:t>
      </w:r>
    </w:p>
    <w:tbl>
      <w:tblPr>
        <w:tblStyle w:val="TableGrid"/>
        <w:tblW w:type="dxa" w:w="9360"/>
        <w:jc w:val="left"/>
        <w:tblLayout w:type="fixed"/>
        <w:tblLook w:firstColumn="1" w:firstRow="1" w:lastColumn="0" w:lastRow="0" w:noHBand="0" w:noVBand="1" w:val="04A0"/>
        <w:tblInd w:w="120" w:type="dxa"/>
      </w:tblPr>
      <w:tblGrid>
        <w:gridCol w:w="2700"/>
        <w:gridCol w:w="1700"/>
        <w:gridCol w:w="3700"/>
        <w:gridCol w:w="1260"/>
      </w:tblGrid>
      <w:tr>
        <w:trPr>
          <w:tblHeader w:val="true"/>
        </w:trPr>
        <w:tc>
          <w:tcPr>
            <w:tcW w:type="dxa" w:w="2700"/>
            <w:shd w:fill="E8EEF5"/>
            <w:tcMar>
              <w:top w:w="80" w:type="dxa"/>
              <w:bottom w:w="80" w:type="dxa"/>
              <w:start w:w="120" w:type="dxa"/>
              <w:end w:w="120" w:type="dxa"/>
            </w:tcMar>
            <w:vAlign w:val="center"/>
          </w:tcPr>
          <w:p>
            <w:pPr>
              <w:spacing w:after="0"/>
            </w:pPr>
            <w:r>
              <w:rPr>
                <w:rFonts w:ascii="Calibri" w:hAnsi="Calibri" w:eastAsia="微软雅黑"/>
                <w:b/>
                <w:color w:val="23384D"/>
                <w:sz w:val="18"/>
              </w:rPr>
              <w:t>接口</w:t>
            </w:r>
          </w:p>
        </w:tc>
        <w:tc>
          <w:tcPr>
            <w:tcW w:type="dxa" w:w="1700"/>
            <w:shd w:fill="E8EEF5"/>
            <w:tcMar>
              <w:top w:w="80" w:type="dxa"/>
              <w:bottom w:w="80" w:type="dxa"/>
              <w:start w:w="120" w:type="dxa"/>
              <w:end w:w="120" w:type="dxa"/>
            </w:tcMar>
            <w:vAlign w:val="center"/>
          </w:tcPr>
          <w:p>
            <w:pPr>
              <w:spacing w:after="0"/>
            </w:pPr>
            <w:r>
              <w:rPr>
                <w:rFonts w:ascii="Calibri" w:hAnsi="Calibri" w:eastAsia="微软雅黑"/>
                <w:b/>
                <w:color w:val="23384D"/>
                <w:sz w:val="18"/>
              </w:rPr>
              <w:t>用途</w:t>
            </w:r>
          </w:p>
        </w:tc>
        <w:tc>
          <w:tcPr>
            <w:tcW w:type="dxa" w:w="3700"/>
            <w:shd w:fill="E8EEF5"/>
            <w:tcMar>
              <w:top w:w="80" w:type="dxa"/>
              <w:bottom w:w="80" w:type="dxa"/>
              <w:start w:w="120" w:type="dxa"/>
              <w:end w:w="120" w:type="dxa"/>
            </w:tcMar>
            <w:vAlign w:val="center"/>
          </w:tcPr>
          <w:p>
            <w:pPr>
              <w:spacing w:after="0"/>
            </w:pPr>
            <w:r>
              <w:rPr>
                <w:rFonts w:ascii="Calibri" w:hAnsi="Calibri" w:eastAsia="微软雅黑"/>
                <w:b/>
                <w:color w:val="23384D"/>
                <w:sz w:val="18"/>
              </w:rPr>
              <w:t>关键规则</w:t>
            </w:r>
          </w:p>
        </w:tc>
        <w:tc>
          <w:tcPr>
            <w:tcW w:type="dxa" w:w="1260"/>
            <w:shd w:fill="E8EEF5"/>
            <w:tcMar>
              <w:top w:w="80" w:type="dxa"/>
              <w:bottom w:w="80" w:type="dxa"/>
              <w:start w:w="120" w:type="dxa"/>
              <w:end w:w="120" w:type="dxa"/>
            </w:tcMar>
            <w:vAlign w:val="center"/>
          </w:tcPr>
          <w:p>
            <w:pPr>
              <w:spacing w:after="0"/>
            </w:pPr>
            <w:r>
              <w:rPr>
                <w:rFonts w:ascii="Calibri" w:hAnsi="Calibri" w:eastAsia="微软雅黑"/>
                <w:b/>
                <w:color w:val="23384D"/>
                <w:sz w:val="18"/>
              </w:rPr>
              <w:t>状态</w:t>
            </w:r>
          </w:p>
        </w:tc>
      </w:tr>
      <w:tr>
        <w:trPr>
          <w:cantSplit/>
        </w:trPr>
        <w:tc>
          <w:tcPr>
            <w:tcW w:type="dxa" w:w="2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POST /api/v1/auth/sms/login</w:t>
            </w:r>
          </w:p>
        </w:tc>
        <w:tc>
          <w:tcPr>
            <w:tcW w:type="dxa" w:w="1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Mock登录</w:t>
            </w:r>
          </w:p>
        </w:tc>
        <w:tc>
          <w:tcPr>
            <w:tcW w:type="dxa" w:w="3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验证码000000；返回token与me摘要；错误使用统一信封。</w:t>
            </w:r>
          </w:p>
        </w:tc>
        <w:tc>
          <w:tcPr>
            <w:tcW w:type="dxa" w:w="12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冻结候选</w:t>
            </w:r>
          </w:p>
        </w:tc>
      </w:tr>
      <w:tr>
        <w:trPr>
          <w:cantSplit/>
        </w:trPr>
        <w:tc>
          <w:tcPr>
            <w:tcW w:type="dxa" w:w="2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GET /api/v1/users/me</w:t>
            </w:r>
          </w:p>
        </w:tc>
        <w:tc>
          <w:tcPr>
            <w:tcW w:type="dxa" w:w="1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恢复会话</w:t>
            </w:r>
          </w:p>
        </w:tc>
        <w:tc>
          <w:tcPr>
            <w:tcW w:type="dxa" w:w="3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无会话或过期返回401；敏感字段脱敏。</w:t>
            </w:r>
          </w:p>
        </w:tc>
        <w:tc>
          <w:tcPr>
            <w:tcW w:type="dxa" w:w="12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已有共享Mock，需校准</w:t>
            </w:r>
          </w:p>
        </w:tc>
      </w:tr>
      <w:tr>
        <w:trPr>
          <w:cantSplit/>
        </w:trPr>
        <w:tc>
          <w:tcPr>
            <w:tcW w:type="dxa" w:w="2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GET /api/v1/tenants/current/config</w:t>
            </w:r>
          </w:p>
        </w:tc>
        <w:tc>
          <w:tcPr>
            <w:tcW w:type="dxa" w:w="1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福安上下文</w:t>
            </w:r>
          </w:p>
        </w:tc>
        <w:tc>
          <w:tcPr>
            <w:tcW w:type="dxa" w:w="3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只返回fuan/350981及一期功能开关；前端不传tenantId。</w:t>
            </w:r>
          </w:p>
        </w:tc>
        <w:tc>
          <w:tcPr>
            <w:tcW w:type="dxa" w:w="12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已有共享Mock，需校准</w:t>
            </w:r>
          </w:p>
        </w:tc>
      </w:tr>
      <w:tr>
        <w:trPr>
          <w:cantSplit/>
        </w:trPr>
        <w:tc>
          <w:tcPr>
            <w:tcW w:type="dxa" w:w="2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GET /api/v1/metrics/dashboard</w:t>
            </w:r>
          </w:p>
        </w:tc>
        <w:tc>
          <w:tcPr>
            <w:tcW w:type="dxa" w:w="1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指标与趋势</w:t>
            </w:r>
          </w:p>
        </w:tc>
        <w:tc>
          <w:tcPr>
            <w:tcW w:type="dxa" w:w="3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七大指标字段固定；空值为0；趋势日期连续。</w:t>
            </w:r>
          </w:p>
        </w:tc>
        <w:tc>
          <w:tcPr>
            <w:tcW w:type="dxa" w:w="12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已有Mock，需冻结字段</w:t>
            </w:r>
          </w:p>
        </w:tc>
      </w:tr>
      <w:tr>
        <w:trPr>
          <w:cantSplit/>
        </w:trPr>
        <w:tc>
          <w:tcPr>
            <w:tcW w:type="dxa" w:w="2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GET /api/v1/admin/tasks/summary</w:t>
            </w:r>
          </w:p>
        </w:tc>
        <w:tc>
          <w:tcPr>
            <w:tcW w:type="dxa" w:w="1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待办摘要</w:t>
            </w:r>
          </w:p>
        </w:tc>
        <w:tc>
          <w:tcPr>
            <w:tcW w:type="dxa" w:w="37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五类计数与跳转条件；不返回完整业务列表。</w:t>
            </w:r>
          </w:p>
        </w:tc>
        <w:tc>
          <w:tcPr>
            <w:tcW w:type="dxa" w:w="12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新增/冻结候选</w:t>
            </w:r>
          </w:p>
        </w:tc>
      </w:tr>
    </w:tbl>
    <w:p>
      <w:pPr>
        <w:spacing w:after="0"/>
      </w:pPr>
    </w:p>
    <w:p>
      <w:pPr>
        <w:pStyle w:val="Heading2"/>
      </w:pPr>
      <w:r>
        <w:t>1.5 切片1任务清单</w:t>
      </w:r>
    </w:p>
    <w:tbl>
      <w:tblPr>
        <w:tblStyle w:val="TableGrid"/>
        <w:tblW w:type="dxa" w:w="9360"/>
        <w:jc w:val="left"/>
        <w:tblLayout w:type="fixed"/>
        <w:tblLook w:firstColumn="1" w:firstRow="1" w:lastColumn="0" w:lastRow="0" w:noHBand="0" w:noVBand="1" w:val="04A0"/>
        <w:tblInd w:w="120" w:type="dxa"/>
      </w:tblPr>
      <w:tblGrid>
        <w:gridCol w:w="1150"/>
        <w:gridCol w:w="4040"/>
        <w:gridCol w:w="1400"/>
        <w:gridCol w:w="900"/>
        <w:gridCol w:w="1870"/>
      </w:tblGrid>
      <w:tr>
        <w:trPr>
          <w:tblHeader w:val="true"/>
        </w:trPr>
        <w:tc>
          <w:tcPr>
            <w:tcW w:type="dxa" w:w="1150"/>
            <w:shd w:fill="E8EEF5"/>
            <w:tcMar>
              <w:top w:w="80" w:type="dxa"/>
              <w:bottom w:w="80" w:type="dxa"/>
              <w:start w:w="120" w:type="dxa"/>
              <w:end w:w="120" w:type="dxa"/>
            </w:tcMar>
            <w:vAlign w:val="center"/>
          </w:tcPr>
          <w:p>
            <w:pPr>
              <w:spacing w:after="0"/>
            </w:pPr>
            <w:r>
              <w:rPr>
                <w:rFonts w:ascii="Calibri" w:hAnsi="Calibri" w:eastAsia="微软雅黑"/>
                <w:b/>
                <w:color w:val="23384D"/>
                <w:sz w:val="18"/>
              </w:rPr>
              <w:t>任务ID</w:t>
            </w:r>
          </w:p>
        </w:tc>
        <w:tc>
          <w:tcPr>
            <w:tcW w:type="dxa" w:w="4040"/>
            <w:shd w:fill="E8EEF5"/>
            <w:tcMar>
              <w:top w:w="80" w:type="dxa"/>
              <w:bottom w:w="80" w:type="dxa"/>
              <w:start w:w="120" w:type="dxa"/>
              <w:end w:w="120" w:type="dxa"/>
            </w:tcMar>
            <w:vAlign w:val="center"/>
          </w:tcPr>
          <w:p>
            <w:pPr>
              <w:spacing w:after="0"/>
            </w:pPr>
            <w:r>
              <w:rPr>
                <w:rFonts w:ascii="Calibri" w:hAnsi="Calibri" w:eastAsia="微软雅黑"/>
                <w:b/>
                <w:color w:val="23384D"/>
                <w:sz w:val="18"/>
              </w:rPr>
              <w:t>工作项</w:t>
            </w:r>
          </w:p>
        </w:tc>
        <w:tc>
          <w:tcPr>
            <w:tcW w:type="dxa" w:w="1400"/>
            <w:shd w:fill="E8EEF5"/>
            <w:tcMar>
              <w:top w:w="80" w:type="dxa"/>
              <w:bottom w:w="80" w:type="dxa"/>
              <w:start w:w="120" w:type="dxa"/>
              <w:end w:w="120" w:type="dxa"/>
            </w:tcMar>
            <w:vAlign w:val="center"/>
          </w:tcPr>
          <w:p>
            <w:pPr>
              <w:spacing w:after="0"/>
            </w:pPr>
            <w:r>
              <w:rPr>
                <w:rFonts w:ascii="Calibri" w:hAnsi="Calibri" w:eastAsia="微软雅黑"/>
                <w:b/>
                <w:color w:val="23384D"/>
                <w:sz w:val="18"/>
              </w:rPr>
              <w:t>责任建议</w:t>
            </w:r>
          </w:p>
        </w:tc>
        <w:tc>
          <w:tcPr>
            <w:tcW w:type="dxa" w:w="900"/>
            <w:shd w:fill="E8EEF5"/>
            <w:tcMar>
              <w:top w:w="80" w:type="dxa"/>
              <w:bottom w:w="80" w:type="dxa"/>
              <w:start w:w="120" w:type="dxa"/>
              <w:end w:w="120" w:type="dxa"/>
            </w:tcMar>
            <w:vAlign w:val="center"/>
          </w:tcPr>
          <w:p>
            <w:pPr>
              <w:spacing w:after="0"/>
            </w:pPr>
            <w:r>
              <w:rPr>
                <w:rFonts w:ascii="Calibri" w:hAnsi="Calibri" w:eastAsia="微软雅黑"/>
                <w:b/>
                <w:color w:val="23384D"/>
                <w:sz w:val="18"/>
              </w:rPr>
              <w:t>规模</w:t>
            </w:r>
          </w:p>
        </w:tc>
        <w:tc>
          <w:tcPr>
            <w:tcW w:type="dxa" w:w="1870"/>
            <w:shd w:fill="E8EEF5"/>
            <w:tcMar>
              <w:top w:w="80" w:type="dxa"/>
              <w:bottom w:w="80" w:type="dxa"/>
              <w:start w:w="120" w:type="dxa"/>
              <w:end w:w="120" w:type="dxa"/>
            </w:tcMar>
            <w:vAlign w:val="center"/>
          </w:tcPr>
          <w:p>
            <w:pPr>
              <w:spacing w:after="0"/>
            </w:pPr>
            <w:r>
              <w:rPr>
                <w:rFonts w:ascii="Calibri" w:hAnsi="Calibri" w:eastAsia="微软雅黑"/>
                <w:b/>
                <w:color w:val="23384D"/>
                <w:sz w:val="18"/>
              </w:rPr>
              <w:t>依赖/完成证据</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S1-PD-01</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确认C03，冻结切片1页面、状态和菜单策略。</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产品</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签署后的范围与验收清单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S1-PD-02</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冻结七大指标字段、口径、单位、时间范围与空值规则。</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产品+业务</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指标字典与样例</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S1-PD-03</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定义五类待办计数、跳转路径和筛选条件。</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产品</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待办字典</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S1-UX-01</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完善登录页全状态原型与提示文案。</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设计</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原型走查记录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S1-UX-02</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完善工作台加载、空、错、部分失败和待办交互。</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设计</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原型走查记录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S1-API-01</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统一响应信封、401/403处理和traceId。</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前后端</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契约测试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S1-API-02</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冻结5个接口的OpenAPI、Mock和错误示例。</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后端</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OpenAPI评审</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S1-BE-01</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实现/校准短信Mock登录和管理员会话。</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后端</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接口自动测试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S1-BE-02</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实现/校准用户、租户配置与权限摘要。</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后端</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接口自动测试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S1-BE-03</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实现指标接口与空数据规则。</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后端</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指标样例与自动测试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S1-BE-04</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实现待办聚合接口与跳转条件。</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后端</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计数一致性测试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S1-FE-01</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实现登录、表单校验、提交态和错误态。</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前端</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页面演示与组件测试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S1-FE-02</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实现API Client解包、401处理和请求追踪。</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前端</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单元/契约测试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S1-FE-03</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实现会话恢复、路由守卫和退出。</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前端</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路由集成测试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S1-FE-04</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实现指标卡、趋势和所有数据状态。</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前端</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页面集成测试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S1-FE-05</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实现待办摘要与受控跳转。</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前端</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点击行为测试</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S1-QA-01</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建立登录、会话、工作台、权限和异常用例。</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测试</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用例评审</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S1-QA-02</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执行端到端、契约、回归和验收测试。</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测试+产品</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M</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验收报告</w:t>
            </w:r>
          </w:p>
        </w:tc>
      </w:tr>
      <w:tr>
        <w:trPr>
          <w:cantSplit/>
        </w:trPr>
        <w:tc>
          <w:tcPr>
            <w:tcW w:type="dxa" w:w="115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S1-OPS-01</w:t>
            </w:r>
          </w:p>
        </w:tc>
        <w:tc>
          <w:tcPr>
            <w:tcW w:type="dxa" w:w="404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配置日志、traceId检索、功能开关和回滚说明。</w:t>
            </w:r>
          </w:p>
        </w:tc>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技术/运维</w:t>
            </w:r>
          </w:p>
        </w:tc>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S</w:t>
            </w:r>
          </w:p>
        </w:tc>
        <w:tc>
          <w:tcPr>
            <w:tcW w:type="dxa" w:w="1870"/>
            <w:tcMar>
              <w:top w:w="80" w:type="dxa"/>
              <w:bottom w:w="80" w:type="dxa"/>
              <w:start w:w="120" w:type="dxa"/>
              <w:end w:w="120" w:type="dxa"/>
            </w:tcMar>
            <w:vAlign w:val="center"/>
          </w:tcPr>
          <w:p>
            <w:pPr>
              <w:spacing w:after="40" w:line="259" w:lineRule="auto"/>
            </w:pPr>
            <w:r>
              <w:rPr>
                <w:rFonts w:ascii="Calibri" w:hAnsi="Calibri" w:eastAsia="微软雅黑"/>
                <w:color w:val="222222"/>
                <w:sz w:val="16"/>
              </w:rPr>
              <w:t>上线检查表</w:t>
            </w:r>
          </w:p>
        </w:tc>
      </w:tr>
    </w:tbl>
    <w:p>
      <w:pPr>
        <w:spacing w:after="0"/>
      </w:pPr>
    </w:p>
    <w:p>
      <w:pPr>
        <w:pStyle w:val="Heading2"/>
      </w:pPr>
      <w:r>
        <w:t>1.6 切片1验收用例</w:t>
      </w:r>
    </w:p>
    <w:tbl>
      <w:tblPr>
        <w:tblStyle w:val="TableGrid"/>
        <w:tblW w:type="dxa" w:w="9360"/>
        <w:jc w:val="left"/>
        <w:tblLayout w:type="fixed"/>
        <w:tblLook w:firstColumn="1" w:firstRow="1" w:lastColumn="0" w:lastRow="0" w:noHBand="0" w:noVBand="1" w:val="04A0"/>
        <w:tblInd w:w="120" w:type="dxa"/>
      </w:tblPr>
      <w:tblGrid>
        <w:gridCol w:w="1050"/>
        <w:gridCol w:w="2900"/>
        <w:gridCol w:w="4310"/>
        <w:gridCol w:w="1100"/>
      </w:tblGrid>
      <w:tr>
        <w:trPr>
          <w:tblHeader w:val="true"/>
        </w:trPr>
        <w:tc>
          <w:tcPr>
            <w:tcW w:type="dxa" w:w="1050"/>
            <w:shd w:fill="E8EEF5"/>
            <w:tcMar>
              <w:top w:w="80" w:type="dxa"/>
              <w:bottom w:w="80" w:type="dxa"/>
              <w:start w:w="120" w:type="dxa"/>
              <w:end w:w="120" w:type="dxa"/>
            </w:tcMar>
            <w:vAlign w:val="center"/>
          </w:tcPr>
          <w:p>
            <w:pPr>
              <w:spacing w:after="0"/>
            </w:pPr>
            <w:r>
              <w:rPr>
                <w:rFonts w:ascii="Calibri" w:hAnsi="Calibri" w:eastAsia="微软雅黑"/>
                <w:b/>
                <w:color w:val="23384D"/>
                <w:sz w:val="18"/>
              </w:rPr>
              <w:t>编号</w:t>
            </w:r>
          </w:p>
        </w:tc>
        <w:tc>
          <w:tcPr>
            <w:tcW w:type="dxa" w:w="2900"/>
            <w:shd w:fill="E8EEF5"/>
            <w:tcMar>
              <w:top w:w="80" w:type="dxa"/>
              <w:bottom w:w="80" w:type="dxa"/>
              <w:start w:w="120" w:type="dxa"/>
              <w:end w:w="120" w:type="dxa"/>
            </w:tcMar>
            <w:vAlign w:val="center"/>
          </w:tcPr>
          <w:p>
            <w:pPr>
              <w:spacing w:after="0"/>
            </w:pPr>
            <w:r>
              <w:rPr>
                <w:rFonts w:ascii="Calibri" w:hAnsi="Calibri" w:eastAsia="微软雅黑"/>
                <w:b/>
                <w:color w:val="23384D"/>
                <w:sz w:val="18"/>
              </w:rPr>
              <w:t>场景</w:t>
            </w:r>
          </w:p>
        </w:tc>
        <w:tc>
          <w:tcPr>
            <w:tcW w:type="dxa" w:w="4310"/>
            <w:shd w:fill="E8EEF5"/>
            <w:tcMar>
              <w:top w:w="80" w:type="dxa"/>
              <w:bottom w:w="80" w:type="dxa"/>
              <w:start w:w="120" w:type="dxa"/>
              <w:end w:w="120" w:type="dxa"/>
            </w:tcMar>
            <w:vAlign w:val="center"/>
          </w:tcPr>
          <w:p>
            <w:pPr>
              <w:spacing w:after="0"/>
            </w:pPr>
            <w:r>
              <w:rPr>
                <w:rFonts w:ascii="Calibri" w:hAnsi="Calibri" w:eastAsia="微软雅黑"/>
                <w:b/>
                <w:color w:val="23384D"/>
                <w:sz w:val="18"/>
              </w:rPr>
              <w:t>预期结果</w:t>
            </w:r>
          </w:p>
        </w:tc>
        <w:tc>
          <w:tcPr>
            <w:tcW w:type="dxa" w:w="1100"/>
            <w:shd w:fill="E8EEF5"/>
            <w:tcMar>
              <w:top w:w="80" w:type="dxa"/>
              <w:bottom w:w="80" w:type="dxa"/>
              <w:start w:w="120" w:type="dxa"/>
              <w:end w:w="120" w:type="dxa"/>
            </w:tcMar>
            <w:vAlign w:val="center"/>
          </w:tcPr>
          <w:p>
            <w:pPr>
              <w:spacing w:after="0"/>
            </w:pPr>
            <w:r>
              <w:rPr>
                <w:rFonts w:ascii="Calibri" w:hAnsi="Calibri" w:eastAsia="微软雅黑"/>
                <w:b/>
                <w:color w:val="23384D"/>
                <w:sz w:val="18"/>
              </w:rPr>
              <w:t>优先级</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S1-AC01</w:t>
            </w:r>
          </w:p>
        </w:tc>
        <w:tc>
          <w:tcPr>
            <w:tcW w:type="dxa" w:w="2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验证码000000登录</w:t>
            </w:r>
          </w:p>
        </w:tc>
        <w:tc>
          <w:tcPr>
            <w:tcW w:type="dxa" w:w="43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统一成功信封；建立会话；进入工作台。</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P0</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S1-AC02</w:t>
            </w:r>
          </w:p>
        </w:tc>
        <w:tc>
          <w:tcPr>
            <w:tcW w:type="dxa" w:w="2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错误验证码/非法手机号</w:t>
            </w:r>
          </w:p>
        </w:tc>
        <w:tc>
          <w:tcPr>
            <w:tcW w:type="dxa" w:w="43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显示可理解错误；不建立会话；可修改重试。</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P0</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S1-AC03</w:t>
            </w:r>
          </w:p>
        </w:tc>
        <w:tc>
          <w:tcPr>
            <w:tcW w:type="dxa" w:w="2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登录重复点击</w:t>
            </w:r>
          </w:p>
        </w:tc>
        <w:tc>
          <w:tcPr>
            <w:tcW w:type="dxa" w:w="43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只产生一个有效业务结果，无重复请求副作用。</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P1</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S1-AC04</w:t>
            </w:r>
          </w:p>
        </w:tc>
        <w:tc>
          <w:tcPr>
            <w:tcW w:type="dxa" w:w="2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刷新恢复会话</w:t>
            </w:r>
          </w:p>
        </w:tc>
        <w:tc>
          <w:tcPr>
            <w:tcW w:type="dxa" w:w="43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users/me恢复管理员、角色和权限。</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P0</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S1-AC05</w:t>
            </w:r>
          </w:p>
        </w:tc>
        <w:tc>
          <w:tcPr>
            <w:tcW w:type="dxa" w:w="2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token过期</w:t>
            </w:r>
          </w:p>
        </w:tc>
        <w:tc>
          <w:tcPr>
            <w:tcW w:type="dxa" w:w="43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401后清会话并回登录；不循环请求。</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P0</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S1-AC06</w:t>
            </w:r>
          </w:p>
        </w:tc>
        <w:tc>
          <w:tcPr>
            <w:tcW w:type="dxa" w:w="2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租户配置</w:t>
            </w:r>
          </w:p>
        </w:tc>
        <w:tc>
          <w:tcPr>
            <w:tcW w:type="dxa" w:w="43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固定fuan/350981；前端未发送tenantId决定数据源。</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P0</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S1-AC07</w:t>
            </w:r>
          </w:p>
        </w:tc>
        <w:tc>
          <w:tcPr>
            <w:tcW w:type="dxa" w:w="2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指标正常/空值</w:t>
            </w:r>
          </w:p>
        </w:tc>
        <w:tc>
          <w:tcPr>
            <w:tcW w:type="dxa" w:w="43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七大指标及趋势展示；空值为0，无NaN。</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P0</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S1-AC08</w:t>
            </w:r>
          </w:p>
        </w:tc>
        <w:tc>
          <w:tcPr>
            <w:tcW w:type="dxa" w:w="2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工作台部分接口失败</w:t>
            </w:r>
          </w:p>
        </w:tc>
        <w:tc>
          <w:tcPr>
            <w:tcW w:type="dxa" w:w="43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成功区域保留；失败区域可重试。</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P1</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S1-AC09</w:t>
            </w:r>
          </w:p>
        </w:tc>
        <w:tc>
          <w:tcPr>
            <w:tcW w:type="dxa" w:w="2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五类待办</w:t>
            </w:r>
          </w:p>
        </w:tc>
        <w:tc>
          <w:tcPr>
            <w:tcW w:type="dxa" w:w="43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计数正确；跳转条件正确；下游未实现时受控提示。</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P0</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S1-AC10</w:t>
            </w:r>
          </w:p>
        </w:tc>
        <w:tc>
          <w:tcPr>
            <w:tcW w:type="dxa" w:w="2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无权限/403</w:t>
            </w:r>
          </w:p>
        </w:tc>
        <w:tc>
          <w:tcPr>
            <w:tcW w:type="dxa" w:w="43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不展示越权数据；提示无权限并记录traceId。</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P0</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S1-AC11</w:t>
            </w:r>
          </w:p>
        </w:tc>
        <w:tc>
          <w:tcPr>
            <w:tcW w:type="dxa" w:w="2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退出登录</w:t>
            </w:r>
          </w:p>
        </w:tc>
        <w:tc>
          <w:tcPr>
            <w:tcW w:type="dxa" w:w="43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清理会话和缓存；浏览器返回也不能访问受保护页。</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P0</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S1-AC12</w:t>
            </w:r>
          </w:p>
        </w:tc>
        <w:tc>
          <w:tcPr>
            <w:tcW w:type="dxa" w:w="29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一期菜单</w:t>
            </w:r>
          </w:p>
        </w:tc>
        <w:tc>
          <w:tcPr>
            <w:tcW w:type="dxa" w:w="431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财务、追溯隐藏；其他未实现菜单按策略隐藏或禁用。</w:t>
            </w:r>
          </w:p>
        </w:tc>
        <w:tc>
          <w:tcPr>
            <w:tcW w:type="dxa" w:w="1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P0</w:t>
            </w:r>
          </w:p>
        </w:tc>
      </w:tr>
    </w:tbl>
    <w:p>
      <w:pPr>
        <w:spacing w:after="0"/>
      </w:pPr>
    </w:p>
    <w:p>
      <w:pPr>
        <w:pStyle w:val="Heading2"/>
      </w:pPr>
      <w:r>
        <w:t>1.7 切片1未决项</w:t>
      </w:r>
    </w:p>
    <w:tbl>
      <w:tblPr>
        <w:tblStyle w:val="TableGrid"/>
        <w:tblW w:type="dxa" w:w="9360"/>
        <w:jc w:val="left"/>
        <w:tblLayout w:type="fixed"/>
        <w:tblLook w:firstColumn="1" w:firstRow="1" w:lastColumn="0" w:lastRow="0" w:noHBand="0" w:noVBand="1" w:val="04A0"/>
        <w:tblInd w:w="120" w:type="dxa"/>
      </w:tblPr>
      <w:tblGrid>
        <w:gridCol w:w="1050"/>
        <w:gridCol w:w="4050"/>
        <w:gridCol w:w="3100"/>
        <w:gridCol w:w="1160"/>
      </w:tblGrid>
      <w:tr>
        <w:trPr>
          <w:tblHeader w:val="true"/>
        </w:trPr>
        <w:tc>
          <w:tcPr>
            <w:tcW w:type="dxa" w:w="1050"/>
            <w:shd w:fill="E8EEF5"/>
            <w:tcMar>
              <w:top w:w="80" w:type="dxa"/>
              <w:bottom w:w="80" w:type="dxa"/>
              <w:start w:w="120" w:type="dxa"/>
              <w:end w:w="120" w:type="dxa"/>
            </w:tcMar>
            <w:vAlign w:val="center"/>
          </w:tcPr>
          <w:p>
            <w:pPr>
              <w:spacing w:after="0"/>
            </w:pPr>
            <w:r>
              <w:rPr>
                <w:rFonts w:ascii="Calibri" w:hAnsi="Calibri" w:eastAsia="微软雅黑"/>
                <w:b/>
                <w:color w:val="23384D"/>
                <w:sz w:val="18"/>
              </w:rPr>
              <w:t>编号</w:t>
            </w:r>
          </w:p>
        </w:tc>
        <w:tc>
          <w:tcPr>
            <w:tcW w:type="dxa" w:w="4050"/>
            <w:shd w:fill="E8EEF5"/>
            <w:tcMar>
              <w:top w:w="80" w:type="dxa"/>
              <w:bottom w:w="80" w:type="dxa"/>
              <w:start w:w="120" w:type="dxa"/>
              <w:end w:w="120" w:type="dxa"/>
            </w:tcMar>
            <w:vAlign w:val="center"/>
          </w:tcPr>
          <w:p>
            <w:pPr>
              <w:spacing w:after="0"/>
            </w:pPr>
            <w:r>
              <w:rPr>
                <w:rFonts w:ascii="Calibri" w:hAnsi="Calibri" w:eastAsia="微软雅黑"/>
                <w:b/>
                <w:color w:val="23384D"/>
                <w:sz w:val="18"/>
              </w:rPr>
              <w:t>待确认内容</w:t>
            </w:r>
          </w:p>
        </w:tc>
        <w:tc>
          <w:tcPr>
            <w:tcW w:type="dxa" w:w="3100"/>
            <w:shd w:fill="E8EEF5"/>
            <w:tcMar>
              <w:top w:w="80" w:type="dxa"/>
              <w:bottom w:w="80" w:type="dxa"/>
              <w:start w:w="120" w:type="dxa"/>
              <w:end w:w="120" w:type="dxa"/>
            </w:tcMar>
            <w:vAlign w:val="center"/>
          </w:tcPr>
          <w:p>
            <w:pPr>
              <w:spacing w:after="0"/>
            </w:pPr>
            <w:r>
              <w:rPr>
                <w:rFonts w:ascii="Calibri" w:hAnsi="Calibri" w:eastAsia="微软雅黑"/>
                <w:b/>
                <w:color w:val="23384D"/>
                <w:sz w:val="18"/>
              </w:rPr>
              <w:t>建议默认</w:t>
            </w:r>
          </w:p>
        </w:tc>
        <w:tc>
          <w:tcPr>
            <w:tcW w:type="dxa" w:w="1160"/>
            <w:shd w:fill="E8EEF5"/>
            <w:tcMar>
              <w:top w:w="80" w:type="dxa"/>
              <w:bottom w:w="80" w:type="dxa"/>
              <w:start w:w="120" w:type="dxa"/>
              <w:end w:w="120" w:type="dxa"/>
            </w:tcMar>
            <w:vAlign w:val="center"/>
          </w:tcPr>
          <w:p>
            <w:pPr>
              <w:spacing w:after="0"/>
            </w:pPr>
            <w:r>
              <w:rPr>
                <w:rFonts w:ascii="Calibri" w:hAnsi="Calibri" w:eastAsia="微软雅黑"/>
                <w:b/>
                <w:color w:val="23384D"/>
                <w:sz w:val="18"/>
              </w:rPr>
              <w:t>阻断范围</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S1-D01</w:t>
            </w:r>
          </w:p>
        </w:tc>
        <w:tc>
          <w:tcPr>
            <w:tcW w:type="dxa" w:w="4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七大指标的确切字段、单位和业务口径。</w:t>
            </w:r>
          </w:p>
        </w:tc>
        <w:tc>
          <w:tcPr>
            <w:tcW w:type="dxa" w:w="3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沿用《系统落地架构设计》T26并形成指标字典。</w:t>
            </w:r>
          </w:p>
        </w:tc>
        <w:tc>
          <w:tcPr>
            <w:tcW w:type="dxa" w:w="11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阻断指标接口冻结</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S1-D02</w:t>
            </w:r>
          </w:p>
        </w:tc>
        <w:tc>
          <w:tcPr>
            <w:tcW w:type="dxa" w:w="4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待办下游页面尚未实现时的点击行为。</w:t>
            </w:r>
          </w:p>
        </w:tc>
        <w:tc>
          <w:tcPr>
            <w:tcW w:type="dxa" w:w="3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保留跳转条件；前端显示“将在后续切片开放”。</w:t>
            </w:r>
          </w:p>
        </w:tc>
        <w:tc>
          <w:tcPr>
            <w:tcW w:type="dxa" w:w="11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不阻断摘要展示</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S1-D03</w:t>
            </w:r>
          </w:p>
        </w:tc>
        <w:tc>
          <w:tcPr>
            <w:tcW w:type="dxa" w:w="4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验证码错误次数与锁定策略。</w:t>
            </w:r>
          </w:p>
        </w:tc>
        <w:tc>
          <w:tcPr>
            <w:tcW w:type="dxa" w:w="3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Mock阶段不锁定，但保留错误码；真实短信接入前补安全策略。</w:t>
            </w:r>
          </w:p>
        </w:tc>
        <w:tc>
          <w:tcPr>
            <w:tcW w:type="dxa" w:w="11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不阻断Mock验收</w:t>
            </w:r>
          </w:p>
        </w:tc>
      </w:tr>
      <w:tr>
        <w:trPr>
          <w:cantSplit/>
        </w:trPr>
        <w:tc>
          <w:tcPr>
            <w:tcW w:type="dxa" w:w="1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S1-D04</w:t>
            </w:r>
          </w:p>
        </w:tc>
        <w:tc>
          <w:tcPr>
            <w:tcW w:type="dxa" w:w="405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管理员权限模型的最小集合。</w:t>
            </w:r>
          </w:p>
        </w:tc>
        <w:tc>
          <w:tcPr>
            <w:tcW w:type="dxa" w:w="31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至少定义工作台查看权限和管理员身份摘要。</w:t>
            </w:r>
          </w:p>
        </w:tc>
        <w:tc>
          <w:tcPr>
            <w:tcW w:type="dxa" w:w="116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阻断403验收</w:t>
            </w:r>
          </w:p>
        </w:tc>
      </w:tr>
    </w:tbl>
    <w:p>
      <w:pPr>
        <w:spacing w:after="0"/>
      </w:pPr>
    </w:p>
    <w:p>
      <w:pPr>
        <w:pStyle w:val="Heading1"/>
      </w:pPr>
      <w:r>
        <w:t>2. 切片2：小程序登录、首页与身份上下文</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5F8FC"/>
            <w:tcMar>
              <w:top w:w="80" w:type="dxa"/>
              <w:bottom w:w="80" w:type="dxa"/>
              <w:start w:w="120" w:type="dxa"/>
              <w:end w:w="120" w:type="dxa"/>
            </w:tcMar>
            <w:vAlign w:val="center"/>
          </w:tcPr>
          <w:p>
            <w:pPr>
              <w:spacing w:after="20"/>
            </w:pPr>
            <w:r>
              <w:rPr>
                <w:rFonts w:ascii="Calibri" w:hAnsi="Calibri" w:eastAsia="微软雅黑"/>
                <w:b/>
                <w:color w:val="2E74B5"/>
                <w:sz w:val="20"/>
              </w:rPr>
              <w:t xml:space="preserve">业务结果  </w:t>
            </w:r>
            <w:r>
              <w:rPr>
                <w:rFonts w:ascii="Calibri" w:hAnsi="Calibri" w:eastAsia="微软雅黑"/>
                <w:color w:val="333333"/>
                <w:sz w:val="20"/>
              </w:rPr>
              <w:t>用户进入小程序后可完成微信登录，加载福安上下文、首页聚合数据、当前身份与未读数，并可安全切换身份或退出。</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bottom w:w="80" w:type="dxa"/>
              <w:start w:w="120" w:type="dxa"/>
              <w:end w:w="120" w:type="dxa"/>
            </w:tcMar>
            <w:vAlign w:val="center"/>
          </w:tcPr>
          <w:p>
            <w:pPr>
              <w:spacing w:after="0"/>
            </w:pPr>
            <w:r>
              <w:rPr>
                <w:rFonts w:ascii="Calibri" w:hAnsi="Calibri" w:eastAsia="微软雅黑"/>
                <w:b/>
                <w:color w:val="23384D"/>
                <w:sz w:val="18"/>
              </w:rPr>
              <w:t>维度</w:t>
            </w:r>
          </w:p>
        </w:tc>
        <w:tc>
          <w:tcPr>
            <w:tcW w:type="dxa" w:w="7560"/>
            <w:shd w:fill="E8EEF5"/>
            <w:tcMar>
              <w:top w:w="80" w:type="dxa"/>
              <w:bottom w:w="80" w:type="dxa"/>
              <w:start w:w="120" w:type="dxa"/>
              <w:end w:w="120" w:type="dxa"/>
            </w:tcMar>
            <w:vAlign w:val="center"/>
          </w:tcPr>
          <w:p>
            <w:pPr>
              <w:spacing w:after="0"/>
            </w:pPr>
            <w:r>
              <w:rPr>
                <w:rFonts w:ascii="Calibri" w:hAnsi="Calibri" w:eastAsia="微软雅黑"/>
                <w:b/>
                <w:color w:val="23384D"/>
                <w:sz w:val="18"/>
              </w:rPr>
              <w:t>范围</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页面</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MP-00逻辑流程、MP-01首页、MP-08我的；MP-07仅未读数入口。</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接口</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wechat/login、users/me、tenants/current/config、home/feed、messages/unread-count、identities/{id}/switch。</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关键状态</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首次用户、已认证/待认证、多身份、登录失败、配置失败、首页空态、身份切换失败。</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排除</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地块编辑、工单动作、完整消息列表、供需功能、支付和跨县。</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退出门槛</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福安上下文正确；首页分组允许空数组；身份切换刷新token/上下文；401可恢复。</w:t>
            </w:r>
          </w:p>
        </w:tc>
      </w:tr>
    </w:tbl>
    <w:p>
      <w:pPr>
        <w:spacing w:after="0"/>
      </w:pPr>
    </w:p>
    <w:p>
      <w:pPr>
        <w:pStyle w:val="Heading1"/>
      </w:pPr>
      <w:r>
        <w:t>3. 切片3：地块建档与运营核验</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5F8FC"/>
            <w:tcMar>
              <w:top w:w="80" w:type="dxa"/>
              <w:bottom w:w="80" w:type="dxa"/>
              <w:start w:w="120" w:type="dxa"/>
              <w:end w:w="120" w:type="dxa"/>
            </w:tcMar>
            <w:vAlign w:val="center"/>
          </w:tcPr>
          <w:p>
            <w:pPr>
              <w:spacing w:after="20"/>
            </w:pPr>
            <w:r>
              <w:rPr>
                <w:rFonts w:ascii="Calibri" w:hAnsi="Calibri" w:eastAsia="微软雅黑"/>
                <w:b/>
                <w:color w:val="2E74B5"/>
                <w:sz w:val="20"/>
              </w:rPr>
              <w:t xml:space="preserve">业务结果  </w:t>
            </w:r>
            <w:r>
              <w:rPr>
                <w:rFonts w:ascii="Calibri" w:hAnsi="Calibri" w:eastAsia="微软雅黑"/>
                <w:color w:val="333333"/>
                <w:sz w:val="20"/>
              </w:rPr>
              <w:t>种植户或代录人员创建/编辑地块，运营人员查看详情并通过、驳回或转纠偏，小程序实时展示核验结果。</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bottom w:w="80" w:type="dxa"/>
              <w:start w:w="120" w:type="dxa"/>
              <w:end w:w="120" w:type="dxa"/>
            </w:tcMar>
            <w:vAlign w:val="center"/>
          </w:tcPr>
          <w:p>
            <w:pPr>
              <w:spacing w:after="0"/>
            </w:pPr>
            <w:r>
              <w:rPr>
                <w:rFonts w:ascii="Calibri" w:hAnsi="Calibri" w:eastAsia="微软雅黑"/>
                <w:b/>
                <w:color w:val="23384D"/>
                <w:sz w:val="18"/>
              </w:rPr>
              <w:t>维度</w:t>
            </w:r>
          </w:p>
        </w:tc>
        <w:tc>
          <w:tcPr>
            <w:tcW w:type="dxa" w:w="7560"/>
            <w:shd w:fill="E8EEF5"/>
            <w:tcMar>
              <w:top w:w="80" w:type="dxa"/>
              <w:bottom w:w="80" w:type="dxa"/>
              <w:start w:w="120" w:type="dxa"/>
              <w:end w:w="120" w:type="dxa"/>
            </w:tcMar>
            <w:vAlign w:val="center"/>
          </w:tcPr>
          <w:p>
            <w:pPr>
              <w:spacing w:after="0"/>
            </w:pPr>
            <w:r>
              <w:rPr>
                <w:rFonts w:ascii="Calibri" w:hAnsi="Calibri" w:eastAsia="微软雅黑"/>
                <w:b/>
                <w:color w:val="23384D"/>
                <w:sz w:val="18"/>
              </w:rPr>
              <w:t>范围</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页面</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MP-03地块；AD-04地块核验。</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接口</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plots列表/新建/详情/编辑；admin/plots/{id}/verify。</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必须冻结</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字段字典、面积单位、几何结构、乡镇/作物枚举、核验状态机、version乐观锁、脱敏规则。</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核心异常</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重复提交、并发编辑409、无权403、几何非法、驳回后重提、通过后字段锁定。</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退出门槛</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新建—待核验—通过/驳回/纠偏闭环通过；历史与lastVerifiedAt可追踪。</w:t>
            </w:r>
          </w:p>
        </w:tc>
      </w:tr>
    </w:tbl>
    <w:p>
      <w:pPr>
        <w:spacing w:after="0"/>
      </w:pPr>
    </w:p>
    <w:p>
      <w:pPr>
        <w:pStyle w:val="Heading1"/>
      </w:pPr>
      <w:r>
        <w:t>4. 切片4：服务需求与工单履约闭环</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6EE"/>
            <w:tcMar>
              <w:top w:w="80" w:type="dxa"/>
              <w:bottom w:w="80" w:type="dxa"/>
              <w:start w:w="120" w:type="dxa"/>
              <w:end w:w="120" w:type="dxa"/>
            </w:tcMar>
            <w:vAlign w:val="center"/>
          </w:tcPr>
          <w:p>
            <w:pPr>
              <w:spacing w:after="20"/>
            </w:pPr>
            <w:r>
              <w:rPr>
                <w:rFonts w:ascii="Calibri" w:hAnsi="Calibri" w:eastAsia="微软雅黑"/>
                <w:b/>
                <w:color w:val="25633A"/>
                <w:sz w:val="20"/>
              </w:rPr>
              <w:t xml:space="preserve">业务结果  </w:t>
            </w:r>
            <w:r>
              <w:rPr>
                <w:rFonts w:ascii="Calibri" w:hAnsi="Calibri" w:eastAsia="微软雅黑"/>
                <w:color w:val="333333"/>
                <w:sz w:val="20"/>
              </w:rPr>
              <w:t>种植户基于地块发布需求，运营人员分派服务团队，服务方签到和履约，种植户验收或驳回；全程无资金依赖。</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bottom w:w="80" w:type="dxa"/>
              <w:start w:w="120" w:type="dxa"/>
              <w:end w:w="120" w:type="dxa"/>
            </w:tcMar>
            <w:vAlign w:val="center"/>
          </w:tcPr>
          <w:p>
            <w:pPr>
              <w:spacing w:after="0"/>
            </w:pPr>
            <w:r>
              <w:rPr>
                <w:rFonts w:ascii="Calibri" w:hAnsi="Calibri" w:eastAsia="微软雅黑"/>
                <w:b/>
                <w:color w:val="23384D"/>
                <w:sz w:val="18"/>
              </w:rPr>
              <w:t>维度</w:t>
            </w:r>
          </w:p>
        </w:tc>
        <w:tc>
          <w:tcPr>
            <w:tcW w:type="dxa" w:w="7560"/>
            <w:shd w:fill="E8EEF5"/>
            <w:tcMar>
              <w:top w:w="80" w:type="dxa"/>
              <w:bottom w:w="80" w:type="dxa"/>
              <w:start w:w="120" w:type="dxa"/>
              <w:end w:w="120" w:type="dxa"/>
            </w:tcMar>
            <w:vAlign w:val="center"/>
          </w:tcPr>
          <w:p>
            <w:pPr>
              <w:spacing w:after="0"/>
            </w:pPr>
            <w:r>
              <w:rPr>
                <w:rFonts w:ascii="Calibri" w:hAnsi="Calibri" w:eastAsia="微软雅黑"/>
                <w:b/>
                <w:color w:val="23384D"/>
                <w:sz w:val="18"/>
              </w:rPr>
              <w:t>范围</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页面</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MP-04农事服务、MP-05订单/工单；AD-05服务调度。</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接口</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service-requests创建/本人列表；work-orders列表/详情/分派/签到/履约/验收。</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必须冻结</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C01；需求转工单；团队查询与分派对象；附件服务；工单状态机；allowedActions。</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核心异常</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无可用团队、改派冲突、GPS超距、重复签到、重复履约、非法状态409、验收驳回。</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退出门槛</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需求—分派—签到—履约—验收端到端通过；状态历史完整；不得出现退款按钮。</w:t>
            </w:r>
          </w:p>
        </w:tc>
      </w:tr>
    </w:tbl>
    <w:p>
      <w:pPr>
        <w:spacing w:after="0"/>
      </w:pPr>
    </w:p>
    <w:p>
      <w:pPr>
        <w:pStyle w:val="Heading1"/>
      </w:pPr>
      <w:r>
        <w:t>5. 切片5：农事记录、离线同步、消息与地图</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5F8FC"/>
            <w:tcMar>
              <w:top w:w="80" w:type="dxa"/>
              <w:bottom w:w="80" w:type="dxa"/>
              <w:start w:w="120" w:type="dxa"/>
              <w:end w:w="120" w:type="dxa"/>
            </w:tcMar>
            <w:vAlign w:val="center"/>
          </w:tcPr>
          <w:p>
            <w:pPr>
              <w:spacing w:after="20"/>
            </w:pPr>
            <w:r>
              <w:rPr>
                <w:rFonts w:ascii="Calibri" w:hAnsi="Calibri" w:eastAsia="微软雅黑"/>
                <w:b/>
                <w:color w:val="2E74B5"/>
                <w:sz w:val="20"/>
              </w:rPr>
              <w:t xml:space="preserve">业务结果  </w:t>
            </w:r>
            <w:r>
              <w:rPr>
                <w:rFonts w:ascii="Calibri" w:hAnsi="Calibri" w:eastAsia="微软雅黑"/>
                <w:color w:val="333333"/>
                <w:sz w:val="20"/>
              </w:rPr>
              <w:t>弱网环境下可记录农事活动并恢复同步；用户收到服务状态消息；地图只展示经审核且脱敏的福安点位。</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bottom w:w="80" w:type="dxa"/>
              <w:start w:w="120" w:type="dxa"/>
              <w:end w:w="120" w:type="dxa"/>
            </w:tcMar>
            <w:vAlign w:val="center"/>
          </w:tcPr>
          <w:p>
            <w:pPr>
              <w:spacing w:after="0"/>
            </w:pPr>
            <w:r>
              <w:rPr>
                <w:rFonts w:ascii="Calibri" w:hAnsi="Calibri" w:eastAsia="微软雅黑"/>
                <w:b/>
                <w:color w:val="23384D"/>
                <w:sz w:val="18"/>
              </w:rPr>
              <w:t>维度</w:t>
            </w:r>
          </w:p>
        </w:tc>
        <w:tc>
          <w:tcPr>
            <w:tcW w:type="dxa" w:w="7560"/>
            <w:shd w:fill="E8EEF5"/>
            <w:tcMar>
              <w:top w:w="80" w:type="dxa"/>
              <w:bottom w:w="80" w:type="dxa"/>
              <w:start w:w="120" w:type="dxa"/>
              <w:end w:w="120" w:type="dxa"/>
            </w:tcMar>
            <w:vAlign w:val="center"/>
          </w:tcPr>
          <w:p>
            <w:pPr>
              <w:spacing w:after="0"/>
            </w:pPr>
            <w:r>
              <w:rPr>
                <w:rFonts w:ascii="Calibri" w:hAnsi="Calibri" w:eastAsia="微软雅黑"/>
                <w:b/>
                <w:color w:val="23384D"/>
                <w:sz w:val="18"/>
              </w:rPr>
              <w:t>范围</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页面</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MP-06农事记录、MP-07消息、MP-02资源地图；首页同步提示。</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接口</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farm-activities列表/新增/sync；messages列表/已读；resources/map。</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必须冻结</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clientSeq、逐项同步结果、冲突策略、消息触发矩阵、保留期限、坐标脱敏算法。</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核心异常</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部分同步失败、重复clientSeq、消息重复已读、消息延迟、定位拒绝、地图空数据。</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退出门槛</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离线草稿与幂等同步通过；消息可读可追踪；地图不泄露精确私有坐标。</w:t>
            </w:r>
          </w:p>
        </w:tc>
      </w:tr>
    </w:tbl>
    <w:p>
      <w:pPr>
        <w:spacing w:after="0"/>
      </w:pPr>
    </w:p>
    <w:p>
      <w:pPr>
        <w:pStyle w:val="Heading1"/>
      </w:pPr>
      <w:r>
        <w:t>6. 切片6：运营治理能力完善</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5F8FC"/>
            <w:tcMar>
              <w:top w:w="80" w:type="dxa"/>
              <w:bottom w:w="80" w:type="dxa"/>
              <w:start w:w="120" w:type="dxa"/>
              <w:end w:w="120" w:type="dxa"/>
            </w:tcMar>
            <w:vAlign w:val="center"/>
          </w:tcPr>
          <w:p>
            <w:pPr>
              <w:spacing w:after="20"/>
            </w:pPr>
            <w:r>
              <w:rPr>
                <w:rFonts w:ascii="Calibri" w:hAnsi="Calibri" w:eastAsia="微软雅黑"/>
                <w:b/>
                <w:color w:val="2E74B5"/>
                <w:sz w:val="20"/>
              </w:rPr>
              <w:t xml:space="preserve">业务结果  </w:t>
            </w:r>
            <w:r>
              <w:rPr>
                <w:rFonts w:ascii="Calibri" w:hAnsi="Calibri" w:eastAsia="微软雅黑"/>
                <w:color w:val="333333"/>
                <w:sz w:val="20"/>
              </w:rPr>
              <w:t>县域运营人员可完成会员/主体审核、供需审核、配置版本发布、审计查询和临时提权审批，关键动作均可追踪。</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bottom w:w="80" w:type="dxa"/>
              <w:start w:w="120" w:type="dxa"/>
              <w:end w:w="120" w:type="dxa"/>
            </w:tcMar>
            <w:vAlign w:val="center"/>
          </w:tcPr>
          <w:p>
            <w:pPr>
              <w:spacing w:after="0"/>
            </w:pPr>
            <w:r>
              <w:rPr>
                <w:rFonts w:ascii="Calibri" w:hAnsi="Calibri" w:eastAsia="微软雅黑"/>
                <w:b/>
                <w:color w:val="23384D"/>
                <w:sz w:val="18"/>
              </w:rPr>
              <w:t>维度</w:t>
            </w:r>
          </w:p>
        </w:tc>
        <w:tc>
          <w:tcPr>
            <w:tcW w:type="dxa" w:w="7560"/>
            <w:shd w:fill="E8EEF5"/>
            <w:tcMar>
              <w:top w:w="80" w:type="dxa"/>
              <w:bottom w:w="80" w:type="dxa"/>
              <w:start w:w="120" w:type="dxa"/>
              <w:end w:w="120" w:type="dxa"/>
            </w:tcMar>
            <w:vAlign w:val="center"/>
          </w:tcPr>
          <w:p>
            <w:pPr>
              <w:spacing w:after="0"/>
            </w:pPr>
            <w:r>
              <w:rPr>
                <w:rFonts w:ascii="Calibri" w:hAnsi="Calibri" w:eastAsia="微软雅黑"/>
                <w:b/>
                <w:color w:val="23384D"/>
                <w:sz w:val="18"/>
              </w:rPr>
              <w:t>范围</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页面</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AD-03会员与主体、AD-06供需审核、AD-07参数配置、AD-08审计与提权。</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接口</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admin/members与身份审核；supply-listings与审核；field-templates版本/发布；audit-logs、ops-elevations、approvals。</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必须冻结</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供需数据来源；敏感字段脱敏；模板审批与回滚；双人审批；提权有效期与回收。</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核心异常</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申请人与审批人相同、重复审核、发布并发、过期未回收、敏感字段越权。</w:t>
            </w:r>
          </w:p>
        </w:tc>
      </w:tr>
      <w:tr>
        <w:trPr>
          <w:cantSplit/>
        </w:trPr>
        <w:tc>
          <w:tcPr>
            <w:tcW w:type="dxa" w:w="18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退出门槛</w:t>
            </w:r>
          </w:p>
        </w:tc>
        <w:tc>
          <w:tcPr>
            <w:tcW w:type="dxa" w:w="7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四类治理流程通过；关键写操作幂等且审计；财务和追溯仍不进入导航。</w:t>
            </w:r>
          </w:p>
        </w:tc>
      </w:tr>
    </w:tbl>
    <w:p>
      <w:pPr>
        <w:spacing w:after="0"/>
      </w:pPr>
    </w:p>
    <w:p>
      <w:pPr>
        <w:pStyle w:val="Heading1"/>
      </w:pPr>
      <w:r>
        <w:t>7. 跨切片公共工作</w:t>
      </w:r>
    </w:p>
    <w:tbl>
      <w:tblPr>
        <w:tblStyle w:val="TableGrid"/>
        <w:tblW w:type="dxa" w:w="9360"/>
        <w:jc w:val="left"/>
        <w:tblLayout w:type="fixed"/>
        <w:tblLook w:firstColumn="1" w:firstRow="1" w:lastColumn="0" w:lastRow="0" w:noHBand="0" w:noVBand="1" w:val="04A0"/>
        <w:tblInd w:w="120" w:type="dxa"/>
      </w:tblPr>
      <w:tblGrid>
        <w:gridCol w:w="1300"/>
        <w:gridCol w:w="3690"/>
        <w:gridCol w:w="1300"/>
        <w:gridCol w:w="3070"/>
      </w:tblGrid>
      <w:tr>
        <w:trPr>
          <w:tblHeader w:val="true"/>
        </w:trPr>
        <w:tc>
          <w:tcPr>
            <w:tcW w:type="dxa" w:w="1300"/>
            <w:shd w:fill="E8EEF5"/>
            <w:tcMar>
              <w:top w:w="80" w:type="dxa"/>
              <w:bottom w:w="80" w:type="dxa"/>
              <w:start w:w="120" w:type="dxa"/>
              <w:end w:w="120" w:type="dxa"/>
            </w:tcMar>
            <w:vAlign w:val="center"/>
          </w:tcPr>
          <w:p>
            <w:pPr>
              <w:spacing w:after="0"/>
            </w:pPr>
            <w:r>
              <w:rPr>
                <w:rFonts w:ascii="Calibri" w:hAnsi="Calibri" w:eastAsia="微软雅黑"/>
                <w:b/>
                <w:color w:val="23384D"/>
                <w:sz w:val="18"/>
              </w:rPr>
              <w:t>工作流</w:t>
            </w:r>
          </w:p>
        </w:tc>
        <w:tc>
          <w:tcPr>
            <w:tcW w:type="dxa" w:w="3690"/>
            <w:shd w:fill="E8EEF5"/>
            <w:tcMar>
              <w:top w:w="80" w:type="dxa"/>
              <w:bottom w:w="80" w:type="dxa"/>
              <w:start w:w="120" w:type="dxa"/>
              <w:end w:w="120" w:type="dxa"/>
            </w:tcMar>
            <w:vAlign w:val="center"/>
          </w:tcPr>
          <w:p>
            <w:pPr>
              <w:spacing w:after="0"/>
            </w:pPr>
            <w:r>
              <w:rPr>
                <w:rFonts w:ascii="Calibri" w:hAnsi="Calibri" w:eastAsia="微软雅黑"/>
                <w:b/>
                <w:color w:val="23384D"/>
                <w:sz w:val="18"/>
              </w:rPr>
              <w:t>公共任务</w:t>
            </w:r>
          </w:p>
        </w:tc>
        <w:tc>
          <w:tcPr>
            <w:tcW w:type="dxa" w:w="1300"/>
            <w:shd w:fill="E8EEF5"/>
            <w:tcMar>
              <w:top w:w="80" w:type="dxa"/>
              <w:bottom w:w="80" w:type="dxa"/>
              <w:start w:w="120" w:type="dxa"/>
              <w:end w:w="120" w:type="dxa"/>
            </w:tcMar>
            <w:vAlign w:val="center"/>
          </w:tcPr>
          <w:p>
            <w:pPr>
              <w:spacing w:after="0"/>
            </w:pPr>
            <w:r>
              <w:rPr>
                <w:rFonts w:ascii="Calibri" w:hAnsi="Calibri" w:eastAsia="微软雅黑"/>
                <w:b/>
                <w:color w:val="23384D"/>
                <w:sz w:val="18"/>
              </w:rPr>
              <w:t>首次落地</w:t>
            </w:r>
          </w:p>
        </w:tc>
        <w:tc>
          <w:tcPr>
            <w:tcW w:type="dxa" w:w="3070"/>
            <w:shd w:fill="E8EEF5"/>
            <w:tcMar>
              <w:top w:w="80" w:type="dxa"/>
              <w:bottom w:w="80" w:type="dxa"/>
              <w:start w:w="120" w:type="dxa"/>
              <w:end w:w="120" w:type="dxa"/>
            </w:tcMar>
            <w:vAlign w:val="center"/>
          </w:tcPr>
          <w:p>
            <w:pPr>
              <w:spacing w:after="0"/>
            </w:pPr>
            <w:r>
              <w:rPr>
                <w:rFonts w:ascii="Calibri" w:hAnsi="Calibri" w:eastAsia="微软雅黑"/>
                <w:b/>
                <w:color w:val="23384D"/>
                <w:sz w:val="18"/>
              </w:rPr>
              <w:t>持续要求</w:t>
            </w:r>
          </w:p>
        </w:tc>
      </w:tr>
      <w:tr>
        <w:trPr>
          <w:cantSplit/>
        </w:trPr>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产品</w:t>
            </w:r>
          </w:p>
        </w:tc>
        <w:tc>
          <w:tcPr>
            <w:tcW w:type="dxa" w:w="369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范围版本、决策日志、状态机、权限矩阵、验收用例。</w:t>
            </w:r>
          </w:p>
        </w:tc>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w:t>
            </w:r>
          </w:p>
        </w:tc>
        <w:tc>
          <w:tcPr>
            <w:tcW w:type="dxa" w:w="307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每个切片评审更新</w:t>
            </w:r>
          </w:p>
        </w:tc>
      </w:tr>
      <w:tr>
        <w:trPr>
          <w:cantSplit/>
        </w:trPr>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设计</w:t>
            </w:r>
          </w:p>
        </w:tc>
        <w:tc>
          <w:tcPr>
            <w:tcW w:type="dxa" w:w="369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组件规范、加载/空/错/无权限/弱网状态、响应式后台。</w:t>
            </w:r>
          </w:p>
        </w:tc>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w:t>
            </w:r>
          </w:p>
        </w:tc>
        <w:tc>
          <w:tcPr>
            <w:tcW w:type="dxa" w:w="307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复用组件并做设计走查</w:t>
            </w:r>
          </w:p>
        </w:tc>
      </w:tr>
      <w:tr>
        <w:trPr>
          <w:cantSplit/>
        </w:trPr>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前端</w:t>
            </w:r>
          </w:p>
        </w:tc>
        <w:tc>
          <w:tcPr>
            <w:tcW w:type="dxa" w:w="369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API Client、认证、错误处理、追踪、功能开关、Mock切换。</w:t>
            </w:r>
          </w:p>
        </w:tc>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w:t>
            </w:r>
          </w:p>
        </w:tc>
        <w:tc>
          <w:tcPr>
            <w:tcW w:type="dxa" w:w="307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禁止页面自行解读裸data</w:t>
            </w:r>
          </w:p>
        </w:tc>
      </w:tr>
      <w:tr>
        <w:trPr>
          <w:cantSplit/>
        </w:trPr>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后端</w:t>
            </w:r>
          </w:p>
        </w:tc>
        <w:tc>
          <w:tcPr>
            <w:tcW w:type="dxa" w:w="369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统一信封、分页、错误码、幂等、租户隔离、审计。</w:t>
            </w:r>
          </w:p>
        </w:tc>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w:t>
            </w:r>
          </w:p>
        </w:tc>
        <w:tc>
          <w:tcPr>
            <w:tcW w:type="dxa" w:w="307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契约测试与向后兼容</w:t>
            </w:r>
          </w:p>
        </w:tc>
      </w:tr>
      <w:tr>
        <w:trPr>
          <w:cantSplit/>
        </w:trPr>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测试</w:t>
            </w:r>
          </w:p>
        </w:tc>
        <w:tc>
          <w:tcPr>
            <w:tcW w:type="dxa" w:w="369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契约、端到端、权限、弱网、回归数据和验收报告。</w:t>
            </w:r>
          </w:p>
        </w:tc>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w:t>
            </w:r>
          </w:p>
        </w:tc>
        <w:tc>
          <w:tcPr>
            <w:tcW w:type="dxa" w:w="307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每切片形成回归包</w:t>
            </w:r>
          </w:p>
        </w:tc>
      </w:tr>
      <w:tr>
        <w:trPr>
          <w:cantSplit/>
        </w:trPr>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运维</w:t>
            </w:r>
          </w:p>
        </w:tc>
        <w:tc>
          <w:tcPr>
            <w:tcW w:type="dxa" w:w="369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日志检索、监控、开关、配置、上线与回滚。</w:t>
            </w:r>
          </w:p>
        </w:tc>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S1</w:t>
            </w:r>
          </w:p>
        </w:tc>
        <w:tc>
          <w:tcPr>
            <w:tcW w:type="dxa" w:w="307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每切片更新运行手册</w:t>
            </w:r>
          </w:p>
        </w:tc>
      </w:tr>
    </w:tbl>
    <w:p>
      <w:pPr>
        <w:spacing w:after="0"/>
      </w:pPr>
    </w:p>
    <w:p>
      <w:pPr>
        <w:pStyle w:val="Heading1"/>
      </w:pPr>
      <w:r>
        <w:t>8. 优先级、并行与排期方法</w:t>
      </w:r>
    </w:p>
    <w:p>
      <w:r>
        <w:rPr>
          <w:rFonts w:ascii="Calibri" w:hAnsi="Calibri" w:eastAsia="微软雅黑"/>
          <w:sz w:val="22"/>
        </w:rPr>
        <w:t>在未提供团队规模和现有代码完成度前，本计划不写固定日期。建议用相对规模做容量规划，并在切片进入前由各角色将任务拆成可在一个开发周期内完成的工作项。</w:t>
      </w:r>
    </w:p>
    <w:p>
      <w:pPr>
        <w:pStyle w:val="ListBullet"/>
        <w:spacing w:after="80" w:line="300" w:lineRule="auto"/>
      </w:pPr>
      <w:r>
        <w:rPr>
          <w:rFonts w:ascii="Calibri" w:hAnsi="Calibri" w:eastAsia="微软雅黑"/>
          <w:sz w:val="22"/>
        </w:rPr>
        <w:t>产品、设计和接口契约可以领先当前开发切片一个切片，但不得一次性冻结全部后续细节。</w:t>
      </w:r>
    </w:p>
    <w:p>
      <w:pPr>
        <w:pStyle w:val="ListBullet"/>
        <w:spacing w:after="80" w:line="300" w:lineRule="auto"/>
      </w:pPr>
      <w:r>
        <w:rPr>
          <w:rFonts w:ascii="Calibri" w:hAnsi="Calibri" w:eastAsia="微软雅黑"/>
          <w:sz w:val="22"/>
        </w:rPr>
        <w:t>前端可先基于已冻结OpenAPI和统一Mock开发；后端替换真实实现时不得改变HTTP信封。</w:t>
      </w:r>
    </w:p>
    <w:p>
      <w:pPr>
        <w:pStyle w:val="ListBullet"/>
        <w:spacing w:after="80" w:line="300" w:lineRule="auto"/>
      </w:pPr>
      <w:r>
        <w:rPr>
          <w:rFonts w:ascii="Calibri" w:hAnsi="Calibri" w:eastAsia="微软雅黑"/>
          <w:sz w:val="22"/>
        </w:rPr>
        <w:t>测试从切片评审时参与，不在开发完成后才补用例。</w:t>
      </w:r>
    </w:p>
    <w:p>
      <w:pPr>
        <w:pStyle w:val="ListBullet"/>
        <w:spacing w:after="80" w:line="300" w:lineRule="auto"/>
      </w:pPr>
      <w:r>
        <w:rPr>
          <w:rFonts w:ascii="Calibri" w:hAnsi="Calibri" w:eastAsia="微软雅黑"/>
          <w:sz w:val="22"/>
        </w:rPr>
        <w:t>S3与S4不可颠倒；S4必须依赖可使用的地块。S5可在S4后半段并行准备同步和地图契约。</w:t>
      </w:r>
    </w:p>
    <w:p>
      <w:pPr>
        <w:pStyle w:val="ListBullet"/>
        <w:spacing w:after="80" w:line="300" w:lineRule="auto"/>
      </w:pPr>
      <w:r>
        <w:rPr>
          <w:rFonts w:ascii="Calibri" w:hAnsi="Calibri" w:eastAsia="微软雅黑"/>
          <w:sz w:val="22"/>
        </w:rPr>
        <w:t>S6的会员能力可部分提前，但供需、配置发布和提权必须等未决规则冻结。</w:t>
      </w:r>
    </w:p>
    <w:p>
      <w:pPr>
        <w:pStyle w:val="Heading1"/>
      </w:pPr>
      <w:r>
        <w:t>9. 里程碑与评审点</w:t>
      </w:r>
    </w:p>
    <w:tbl>
      <w:tblPr>
        <w:tblStyle w:val="TableGrid"/>
        <w:tblW w:type="dxa" w:w="9360"/>
        <w:jc w:val="left"/>
        <w:tblLayout w:type="fixed"/>
        <w:tblLook w:firstColumn="1" w:firstRow="1" w:lastColumn="0" w:lastRow="0" w:noHBand="0" w:noVBand="1" w:val="04A0"/>
        <w:tblInd w:w="120" w:type="dxa"/>
      </w:tblPr>
      <w:tblGrid>
        <w:gridCol w:w="1500"/>
        <w:gridCol w:w="2300"/>
        <w:gridCol w:w="3820"/>
        <w:gridCol w:w="1740"/>
      </w:tblGrid>
      <w:tr>
        <w:trPr>
          <w:tblHeader w:val="true"/>
        </w:trPr>
        <w:tc>
          <w:tcPr>
            <w:tcW w:type="dxa" w:w="1500"/>
            <w:shd w:fill="E8EEF5"/>
            <w:tcMar>
              <w:top w:w="80" w:type="dxa"/>
              <w:bottom w:w="80" w:type="dxa"/>
              <w:start w:w="120" w:type="dxa"/>
              <w:end w:w="120" w:type="dxa"/>
            </w:tcMar>
            <w:vAlign w:val="center"/>
          </w:tcPr>
          <w:p>
            <w:pPr>
              <w:spacing w:after="0"/>
            </w:pPr>
            <w:r>
              <w:rPr>
                <w:rFonts w:ascii="Calibri" w:hAnsi="Calibri" w:eastAsia="微软雅黑"/>
                <w:b/>
                <w:color w:val="23384D"/>
                <w:sz w:val="18"/>
              </w:rPr>
              <w:t>评审点</w:t>
            </w:r>
          </w:p>
        </w:tc>
        <w:tc>
          <w:tcPr>
            <w:tcW w:type="dxa" w:w="2300"/>
            <w:shd w:fill="E8EEF5"/>
            <w:tcMar>
              <w:top w:w="80" w:type="dxa"/>
              <w:bottom w:w="80" w:type="dxa"/>
              <w:start w:w="120" w:type="dxa"/>
              <w:end w:w="120" w:type="dxa"/>
            </w:tcMar>
            <w:vAlign w:val="center"/>
          </w:tcPr>
          <w:p>
            <w:pPr>
              <w:spacing w:after="0"/>
            </w:pPr>
            <w:r>
              <w:rPr>
                <w:rFonts w:ascii="Calibri" w:hAnsi="Calibri" w:eastAsia="微软雅黑"/>
                <w:b/>
                <w:color w:val="23384D"/>
                <w:sz w:val="18"/>
              </w:rPr>
              <w:t>参与角色</w:t>
            </w:r>
          </w:p>
        </w:tc>
        <w:tc>
          <w:tcPr>
            <w:tcW w:type="dxa" w:w="3820"/>
            <w:shd w:fill="E8EEF5"/>
            <w:tcMar>
              <w:top w:w="80" w:type="dxa"/>
              <w:bottom w:w="80" w:type="dxa"/>
              <w:start w:w="120" w:type="dxa"/>
              <w:end w:w="120" w:type="dxa"/>
            </w:tcMar>
            <w:vAlign w:val="center"/>
          </w:tcPr>
          <w:p>
            <w:pPr>
              <w:spacing w:after="0"/>
            </w:pPr>
            <w:r>
              <w:rPr>
                <w:rFonts w:ascii="Calibri" w:hAnsi="Calibri" w:eastAsia="微软雅黑"/>
                <w:b/>
                <w:color w:val="23384D"/>
                <w:sz w:val="18"/>
              </w:rPr>
              <w:t>必须回答的问题</w:t>
            </w:r>
          </w:p>
        </w:tc>
        <w:tc>
          <w:tcPr>
            <w:tcW w:type="dxa" w:w="1740"/>
            <w:shd w:fill="E8EEF5"/>
            <w:tcMar>
              <w:top w:w="80" w:type="dxa"/>
              <w:bottom w:w="80" w:type="dxa"/>
              <w:start w:w="120" w:type="dxa"/>
              <w:end w:w="120" w:type="dxa"/>
            </w:tcMar>
            <w:vAlign w:val="center"/>
          </w:tcPr>
          <w:p>
            <w:pPr>
              <w:spacing w:after="0"/>
            </w:pPr>
            <w:r>
              <w:rPr>
                <w:rFonts w:ascii="Calibri" w:hAnsi="Calibri" w:eastAsia="微软雅黑"/>
                <w:b/>
                <w:color w:val="23384D"/>
                <w:sz w:val="18"/>
              </w:rPr>
              <w:t>产出</w:t>
            </w:r>
          </w:p>
        </w:tc>
      </w:tr>
      <w:tr>
        <w:trPr>
          <w:cantSplit/>
        </w:trPr>
        <w:tc>
          <w:tcPr>
            <w:tcW w:type="dxa" w:w="15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范围评审</w:t>
            </w:r>
          </w:p>
        </w:tc>
        <w:tc>
          <w:tcPr>
            <w:tcW w:type="dxa" w:w="2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业务、产品、技术、设计、测试</w:t>
            </w:r>
          </w:p>
        </w:tc>
        <w:tc>
          <w:tcPr>
            <w:tcW w:type="dxa" w:w="382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C01-C05是否确认？排除项是否一致？</w:t>
            </w:r>
          </w:p>
        </w:tc>
        <w:tc>
          <w:tcPr>
            <w:tcW w:type="dxa" w:w="174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范围V1.0</w:t>
            </w:r>
          </w:p>
        </w:tc>
      </w:tr>
      <w:tr>
        <w:trPr>
          <w:cantSplit/>
        </w:trPr>
        <w:tc>
          <w:tcPr>
            <w:tcW w:type="dxa" w:w="15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切片启动</w:t>
            </w:r>
          </w:p>
        </w:tc>
        <w:tc>
          <w:tcPr>
            <w:tcW w:type="dxa" w:w="2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切片全体成员</w:t>
            </w:r>
          </w:p>
        </w:tc>
        <w:tc>
          <w:tcPr>
            <w:tcW w:type="dxa" w:w="382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Ready门槛是否满足？未决项是否有负责人？</w:t>
            </w:r>
          </w:p>
        </w:tc>
        <w:tc>
          <w:tcPr>
            <w:tcW w:type="dxa" w:w="174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启动记录与任务板</w:t>
            </w:r>
          </w:p>
        </w:tc>
      </w:tr>
      <w:tr>
        <w:trPr>
          <w:cantSplit/>
        </w:trPr>
        <w:tc>
          <w:tcPr>
            <w:tcW w:type="dxa" w:w="15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接口评审</w:t>
            </w:r>
          </w:p>
        </w:tc>
        <w:tc>
          <w:tcPr>
            <w:tcW w:type="dxa" w:w="2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前后端、测试、产品</w:t>
            </w:r>
          </w:p>
        </w:tc>
        <w:tc>
          <w:tcPr>
            <w:tcW w:type="dxa" w:w="382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字段、状态、错误、幂等、权限能否测试？</w:t>
            </w:r>
          </w:p>
        </w:tc>
        <w:tc>
          <w:tcPr>
            <w:tcW w:type="dxa" w:w="174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OpenAPI与Mock基线</w:t>
            </w:r>
          </w:p>
        </w:tc>
      </w:tr>
      <w:tr>
        <w:trPr>
          <w:cantSplit/>
        </w:trPr>
        <w:tc>
          <w:tcPr>
            <w:tcW w:type="dxa" w:w="15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中期演示</w:t>
            </w:r>
          </w:p>
        </w:tc>
        <w:tc>
          <w:tcPr>
            <w:tcW w:type="dxa" w:w="2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产品、设计、技术、测试</w:t>
            </w:r>
          </w:p>
        </w:tc>
        <w:tc>
          <w:tcPr>
            <w:tcW w:type="dxa" w:w="382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是否已经形成纵向可运行路径？</w:t>
            </w:r>
          </w:p>
        </w:tc>
        <w:tc>
          <w:tcPr>
            <w:tcW w:type="dxa" w:w="174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缺口与纠偏清单</w:t>
            </w:r>
          </w:p>
        </w:tc>
      </w:tr>
      <w:tr>
        <w:trPr>
          <w:cantSplit/>
        </w:trPr>
        <w:tc>
          <w:tcPr>
            <w:tcW w:type="dxa" w:w="15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验收评审</w:t>
            </w:r>
          </w:p>
        </w:tc>
        <w:tc>
          <w:tcPr>
            <w:tcW w:type="dxa" w:w="2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业务、产品、测试</w:t>
            </w:r>
          </w:p>
        </w:tc>
        <w:tc>
          <w:tcPr>
            <w:tcW w:type="dxa" w:w="382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P0/P1是否通过？排除项是否被误实现？</w:t>
            </w:r>
          </w:p>
        </w:tc>
        <w:tc>
          <w:tcPr>
            <w:tcW w:type="dxa" w:w="174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验收报告</w:t>
            </w:r>
          </w:p>
        </w:tc>
      </w:tr>
      <w:tr>
        <w:trPr>
          <w:cantSplit/>
        </w:trPr>
        <w:tc>
          <w:tcPr>
            <w:tcW w:type="dxa" w:w="15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上线评审</w:t>
            </w:r>
          </w:p>
        </w:tc>
        <w:tc>
          <w:tcPr>
            <w:tcW w:type="dxa" w:w="230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技术、测试、运维、产品</w:t>
            </w:r>
          </w:p>
        </w:tc>
        <w:tc>
          <w:tcPr>
            <w:tcW w:type="dxa" w:w="382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监控、回滚、数据与开关是否就绪？</w:t>
            </w:r>
          </w:p>
        </w:tc>
        <w:tc>
          <w:tcPr>
            <w:tcW w:type="dxa" w:w="1740"/>
            <w:tcMar>
              <w:top w:w="80" w:type="dxa"/>
              <w:bottom w:w="80" w:type="dxa"/>
              <w:start w:w="120" w:type="dxa"/>
              <w:end w:w="120" w:type="dxa"/>
            </w:tcMar>
            <w:vAlign w:val="center"/>
          </w:tcPr>
          <w:p>
            <w:pPr>
              <w:spacing w:after="40" w:line="259" w:lineRule="auto"/>
            </w:pPr>
            <w:r>
              <w:rPr>
                <w:rFonts w:ascii="Calibri" w:hAnsi="Calibri" w:eastAsia="微软雅黑"/>
                <w:color w:val="222222"/>
                <w:sz w:val="17"/>
              </w:rPr>
              <w:t>上线/回滚方案</w:t>
            </w:r>
          </w:p>
        </w:tc>
      </w:tr>
    </w:tbl>
    <w:p>
      <w:pPr>
        <w:spacing w:after="0"/>
      </w:pPr>
    </w:p>
    <w:p>
      <w:pPr>
        <w:pStyle w:val="Heading1"/>
      </w:pPr>
      <w:r>
        <w:t>10. 当前阻断与立即行动</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4CE"/>
            <w:tcMar>
              <w:top w:w="80" w:type="dxa"/>
              <w:bottom w:w="80" w:type="dxa"/>
              <w:start w:w="120" w:type="dxa"/>
              <w:end w:w="120" w:type="dxa"/>
            </w:tcMar>
            <w:vAlign w:val="center"/>
          </w:tcPr>
          <w:p>
            <w:pPr>
              <w:spacing w:after="20"/>
            </w:pPr>
            <w:r>
              <w:rPr>
                <w:rFonts w:ascii="Calibri" w:hAnsi="Calibri" w:eastAsia="微软雅黑"/>
                <w:b/>
                <w:color w:val="7A5A00"/>
                <w:sz w:val="20"/>
              </w:rPr>
              <w:t xml:space="preserve">建议的下一步  </w:t>
            </w:r>
            <w:r>
              <w:rPr>
                <w:rFonts w:ascii="Calibri" w:hAnsi="Calibri" w:eastAsia="微软雅黑"/>
                <w:color w:val="333333"/>
                <w:sz w:val="20"/>
              </w:rPr>
              <w:t>先用一次切片1启动评审确认S1-D01至S1-D04，并冻结5个接口；随后把S1任务清单录入项目管理工具，指派责任人和计划周期。</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00"/>
        <w:gridCol w:w="3900"/>
        <w:gridCol w:w="2000"/>
        <w:gridCol w:w="2560"/>
      </w:tblGrid>
      <w:tr>
        <w:trPr>
          <w:tblHeader w:val="true"/>
        </w:trPr>
        <w:tc>
          <w:tcPr>
            <w:tcW w:type="dxa" w:w="900"/>
            <w:shd w:fill="E8EEF5"/>
            <w:tcMar>
              <w:top w:w="80" w:type="dxa"/>
              <w:bottom w:w="80" w:type="dxa"/>
              <w:start w:w="120" w:type="dxa"/>
              <w:end w:w="120" w:type="dxa"/>
            </w:tcMar>
            <w:vAlign w:val="center"/>
          </w:tcPr>
          <w:p>
            <w:pPr>
              <w:spacing w:after="0"/>
            </w:pPr>
            <w:r>
              <w:rPr>
                <w:rFonts w:ascii="Calibri" w:hAnsi="Calibri" w:eastAsia="微软雅黑"/>
                <w:b/>
                <w:color w:val="23384D"/>
                <w:sz w:val="18"/>
              </w:rPr>
              <w:t>顺序</w:t>
            </w:r>
          </w:p>
        </w:tc>
        <w:tc>
          <w:tcPr>
            <w:tcW w:type="dxa" w:w="3900"/>
            <w:shd w:fill="E8EEF5"/>
            <w:tcMar>
              <w:top w:w="80" w:type="dxa"/>
              <w:bottom w:w="80" w:type="dxa"/>
              <w:start w:w="120" w:type="dxa"/>
              <w:end w:w="120" w:type="dxa"/>
            </w:tcMar>
            <w:vAlign w:val="center"/>
          </w:tcPr>
          <w:p>
            <w:pPr>
              <w:spacing w:after="0"/>
            </w:pPr>
            <w:r>
              <w:rPr>
                <w:rFonts w:ascii="Calibri" w:hAnsi="Calibri" w:eastAsia="微软雅黑"/>
                <w:b/>
                <w:color w:val="23384D"/>
                <w:sz w:val="18"/>
              </w:rPr>
              <w:t>行动</w:t>
            </w:r>
          </w:p>
        </w:tc>
        <w:tc>
          <w:tcPr>
            <w:tcW w:type="dxa" w:w="2000"/>
            <w:shd w:fill="E8EEF5"/>
            <w:tcMar>
              <w:top w:w="80" w:type="dxa"/>
              <w:bottom w:w="80" w:type="dxa"/>
              <w:start w:w="120" w:type="dxa"/>
              <w:end w:w="120" w:type="dxa"/>
            </w:tcMar>
            <w:vAlign w:val="center"/>
          </w:tcPr>
          <w:p>
            <w:pPr>
              <w:spacing w:after="0"/>
            </w:pPr>
            <w:r>
              <w:rPr>
                <w:rFonts w:ascii="Calibri" w:hAnsi="Calibri" w:eastAsia="微软雅黑"/>
                <w:b/>
                <w:color w:val="23384D"/>
                <w:sz w:val="18"/>
              </w:rPr>
              <w:t>责任建议</w:t>
            </w:r>
          </w:p>
        </w:tc>
        <w:tc>
          <w:tcPr>
            <w:tcW w:type="dxa" w:w="2560"/>
            <w:shd w:fill="E8EEF5"/>
            <w:tcMar>
              <w:top w:w="80" w:type="dxa"/>
              <w:bottom w:w="80" w:type="dxa"/>
              <w:start w:w="120" w:type="dxa"/>
              <w:end w:w="120" w:type="dxa"/>
            </w:tcMar>
            <w:vAlign w:val="center"/>
          </w:tcPr>
          <w:p>
            <w:pPr>
              <w:spacing w:after="0"/>
            </w:pPr>
            <w:r>
              <w:rPr>
                <w:rFonts w:ascii="Calibri" w:hAnsi="Calibri" w:eastAsia="微软雅黑"/>
                <w:b/>
                <w:color w:val="23384D"/>
                <w:sz w:val="18"/>
              </w:rPr>
              <w:t>完成标志</w:t>
            </w:r>
          </w:p>
        </w:tc>
      </w:tr>
      <w:tr>
        <w:trPr>
          <w:cantSplit/>
        </w:trPr>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1</w:t>
            </w:r>
          </w:p>
        </w:tc>
        <w:tc>
          <w:tcPr>
            <w:tcW w:type="dxa" w:w="39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确认C03并批准切片1范围。</w:t>
            </w:r>
          </w:p>
        </w:tc>
        <w:tc>
          <w:tcPr>
            <w:tcW w:type="dxa" w:w="20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业务+产品</w:t>
            </w:r>
          </w:p>
        </w:tc>
        <w:tc>
          <w:tcPr>
            <w:tcW w:type="dxa" w:w="2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范围状态改为已确认</w:t>
            </w:r>
          </w:p>
        </w:tc>
      </w:tr>
      <w:tr>
        <w:trPr>
          <w:cantSplit/>
        </w:trPr>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2</w:t>
            </w:r>
          </w:p>
        </w:tc>
        <w:tc>
          <w:tcPr>
            <w:tcW w:type="dxa" w:w="39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补齐七大指标字典与五类待办字典。</w:t>
            </w:r>
          </w:p>
        </w:tc>
        <w:tc>
          <w:tcPr>
            <w:tcW w:type="dxa" w:w="20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产品+业务</w:t>
            </w:r>
          </w:p>
        </w:tc>
        <w:tc>
          <w:tcPr>
            <w:tcW w:type="dxa" w:w="2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字段、口径、单位、跳转条件齐全</w:t>
            </w:r>
          </w:p>
        </w:tc>
      </w:tr>
      <w:tr>
        <w:trPr>
          <w:cantSplit/>
        </w:trPr>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3</w:t>
            </w:r>
          </w:p>
        </w:tc>
        <w:tc>
          <w:tcPr>
            <w:tcW w:type="dxa" w:w="39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评审5个接口与统一信封。</w:t>
            </w:r>
          </w:p>
        </w:tc>
        <w:tc>
          <w:tcPr>
            <w:tcW w:type="dxa" w:w="20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前后端+测试</w:t>
            </w:r>
          </w:p>
        </w:tc>
        <w:tc>
          <w:tcPr>
            <w:tcW w:type="dxa" w:w="2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OpenAPI与Mock签署</w:t>
            </w:r>
          </w:p>
        </w:tc>
      </w:tr>
      <w:tr>
        <w:trPr>
          <w:cantSplit/>
        </w:trPr>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4</w:t>
            </w:r>
          </w:p>
        </w:tc>
        <w:tc>
          <w:tcPr>
            <w:tcW w:type="dxa" w:w="39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完成登录/工作台全状态原型。</w:t>
            </w:r>
          </w:p>
        </w:tc>
        <w:tc>
          <w:tcPr>
            <w:tcW w:type="dxa" w:w="20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设计+产品</w:t>
            </w:r>
          </w:p>
        </w:tc>
        <w:tc>
          <w:tcPr>
            <w:tcW w:type="dxa" w:w="2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设计走查通过</w:t>
            </w:r>
          </w:p>
        </w:tc>
      </w:tr>
      <w:tr>
        <w:trPr>
          <w:cantSplit/>
        </w:trPr>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5</w:t>
            </w:r>
          </w:p>
        </w:tc>
        <w:tc>
          <w:tcPr>
            <w:tcW w:type="dxa" w:w="39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将S1任务分配到责任人与开发周期。</w:t>
            </w:r>
          </w:p>
        </w:tc>
        <w:tc>
          <w:tcPr>
            <w:tcW w:type="dxa" w:w="20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项目负责人</w:t>
            </w:r>
          </w:p>
        </w:tc>
        <w:tc>
          <w:tcPr>
            <w:tcW w:type="dxa" w:w="2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任务板无未分配P0项</w:t>
            </w:r>
          </w:p>
        </w:tc>
      </w:tr>
      <w:tr>
        <w:trPr>
          <w:cantSplit/>
        </w:trPr>
        <w:tc>
          <w:tcPr>
            <w:tcW w:type="dxa" w:w="9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6</w:t>
            </w:r>
          </w:p>
        </w:tc>
        <w:tc>
          <w:tcPr>
            <w:tcW w:type="dxa" w:w="39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按S1-AC01至S1-AC12建立验收集。</w:t>
            </w:r>
          </w:p>
        </w:tc>
        <w:tc>
          <w:tcPr>
            <w:tcW w:type="dxa" w:w="20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测试+产品</w:t>
            </w:r>
          </w:p>
        </w:tc>
        <w:tc>
          <w:tcPr>
            <w:tcW w:type="dxa" w:w="25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验收集可执行</w:t>
            </w:r>
          </w:p>
        </w:tc>
      </w:tr>
    </w:tbl>
    <w:p>
      <w:pPr>
        <w:spacing w:after="0"/>
      </w:pPr>
    </w:p>
    <w:p>
      <w:pPr>
        <w:pStyle w:val="Heading1"/>
      </w:pPr>
      <w:r>
        <w:t>附录A：规模定义</w:t>
      </w:r>
    </w:p>
    <w:tbl>
      <w:tblPr>
        <w:tblStyle w:val="TableGrid"/>
        <w:tblW w:type="dxa" w:w="9360"/>
        <w:jc w:val="left"/>
        <w:tblLayout w:type="fixed"/>
        <w:tblLook w:firstColumn="1" w:firstRow="1" w:lastColumn="0" w:lastRow="0" w:noHBand="0" w:noVBand="1" w:val="04A0"/>
        <w:tblInd w:w="120" w:type="dxa"/>
      </w:tblPr>
      <w:tblGrid>
        <w:gridCol w:w="1300"/>
        <w:gridCol w:w="4400"/>
        <w:gridCol w:w="3660"/>
      </w:tblGrid>
      <w:tr>
        <w:trPr>
          <w:tblHeader w:val="true"/>
        </w:trPr>
        <w:tc>
          <w:tcPr>
            <w:tcW w:type="dxa" w:w="1300"/>
            <w:shd w:fill="E8EEF5"/>
            <w:tcMar>
              <w:top w:w="80" w:type="dxa"/>
              <w:bottom w:w="80" w:type="dxa"/>
              <w:start w:w="120" w:type="dxa"/>
              <w:end w:w="120" w:type="dxa"/>
            </w:tcMar>
            <w:vAlign w:val="center"/>
          </w:tcPr>
          <w:p>
            <w:pPr>
              <w:spacing w:after="0"/>
            </w:pPr>
            <w:r>
              <w:rPr>
                <w:rFonts w:ascii="Calibri" w:hAnsi="Calibri" w:eastAsia="微软雅黑"/>
                <w:b/>
                <w:color w:val="23384D"/>
                <w:sz w:val="18"/>
              </w:rPr>
              <w:t>规模</w:t>
            </w:r>
          </w:p>
        </w:tc>
        <w:tc>
          <w:tcPr>
            <w:tcW w:type="dxa" w:w="4400"/>
            <w:shd w:fill="E8EEF5"/>
            <w:tcMar>
              <w:top w:w="80" w:type="dxa"/>
              <w:bottom w:w="80" w:type="dxa"/>
              <w:start w:w="120" w:type="dxa"/>
              <w:end w:w="120" w:type="dxa"/>
            </w:tcMar>
            <w:vAlign w:val="center"/>
          </w:tcPr>
          <w:p>
            <w:pPr>
              <w:spacing w:after="0"/>
            </w:pPr>
            <w:r>
              <w:rPr>
                <w:rFonts w:ascii="Calibri" w:hAnsi="Calibri" w:eastAsia="微软雅黑"/>
                <w:b/>
                <w:color w:val="23384D"/>
                <w:sz w:val="18"/>
              </w:rPr>
              <w:t>含义</w:t>
            </w:r>
          </w:p>
        </w:tc>
        <w:tc>
          <w:tcPr>
            <w:tcW w:type="dxa" w:w="3660"/>
            <w:shd w:fill="E8EEF5"/>
            <w:tcMar>
              <w:top w:w="80" w:type="dxa"/>
              <w:bottom w:w="80" w:type="dxa"/>
              <w:start w:w="120" w:type="dxa"/>
              <w:end w:w="120" w:type="dxa"/>
            </w:tcMar>
            <w:vAlign w:val="center"/>
          </w:tcPr>
          <w:p>
            <w:pPr>
              <w:spacing w:after="0"/>
            </w:pPr>
            <w:r>
              <w:rPr>
                <w:rFonts w:ascii="Calibri" w:hAnsi="Calibri" w:eastAsia="微软雅黑"/>
                <w:b/>
                <w:color w:val="23384D"/>
                <w:sz w:val="18"/>
              </w:rPr>
              <w:t>使用提醒</w:t>
            </w:r>
          </w:p>
        </w:tc>
      </w:tr>
      <w:tr>
        <w:trPr>
          <w:cantSplit/>
        </w:trPr>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XS</w:t>
            </w:r>
          </w:p>
        </w:tc>
        <w:tc>
          <w:tcPr>
            <w:tcW w:type="dxa" w:w="44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明确、低风险、通常只影响单一组件或小型契约调整。</w:t>
            </w:r>
          </w:p>
        </w:tc>
        <w:tc>
          <w:tcPr>
            <w:tcW w:type="dxa" w:w="36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不应隐藏外部依赖。</w:t>
            </w:r>
          </w:p>
        </w:tc>
      </w:tr>
      <w:tr>
        <w:trPr>
          <w:cantSplit/>
        </w:trPr>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S</w:t>
            </w:r>
          </w:p>
        </w:tc>
        <w:tc>
          <w:tcPr>
            <w:tcW w:type="dxa" w:w="44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范围清晰，跨角色协调少，可独立验证。</w:t>
            </w:r>
          </w:p>
        </w:tc>
        <w:tc>
          <w:tcPr>
            <w:tcW w:type="dxa" w:w="36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若包含状态机或权限，至少升为M。</w:t>
            </w:r>
          </w:p>
        </w:tc>
      </w:tr>
      <w:tr>
        <w:trPr>
          <w:cantSplit/>
        </w:trPr>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M</w:t>
            </w:r>
          </w:p>
        </w:tc>
        <w:tc>
          <w:tcPr>
            <w:tcW w:type="dxa" w:w="44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需要前后端或多状态协作，必须有完整测试。</w:t>
            </w:r>
          </w:p>
        </w:tc>
        <w:tc>
          <w:tcPr>
            <w:tcW w:type="dxa" w:w="36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切片1多数任务属于此级。</w:t>
            </w:r>
          </w:p>
        </w:tc>
      </w:tr>
      <w:tr>
        <w:trPr>
          <w:cantSplit/>
        </w:trPr>
        <w:tc>
          <w:tcPr>
            <w:tcW w:type="dxa" w:w="13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L</w:t>
            </w:r>
          </w:p>
        </w:tc>
        <w:tc>
          <w:tcPr>
            <w:tcW w:type="dxa" w:w="44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跨模块、状态复杂或外部依赖明显，应继续拆分。</w:t>
            </w:r>
          </w:p>
        </w:tc>
        <w:tc>
          <w:tcPr>
            <w:tcW w:type="dxa" w:w="36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不能作为单个不可分配任务直接进入开发。</w:t>
            </w:r>
          </w:p>
        </w:tc>
      </w:tr>
    </w:tbl>
    <w:p>
      <w:pPr>
        <w:spacing w:after="0"/>
      </w:pPr>
    </w:p>
    <w:p>
      <w:pPr>
        <w:pStyle w:val="Heading1"/>
      </w:pPr>
      <w:r>
        <w:t>附录B：切片变更记录</w:t>
      </w:r>
    </w:p>
    <w:tbl>
      <w:tblPr>
        <w:tblStyle w:val="TableGrid"/>
        <w:tblW w:type="dxa" w:w="9360"/>
        <w:jc w:val="left"/>
        <w:tblLayout w:type="fixed"/>
        <w:tblLook w:firstColumn="1" w:firstRow="1" w:lastColumn="0" w:lastRow="0" w:noHBand="0" w:noVBand="1" w:val="04A0"/>
        <w:tblInd w:w="120" w:type="dxa"/>
      </w:tblPr>
      <w:tblGrid>
        <w:gridCol w:w="1400"/>
        <w:gridCol w:w="1600"/>
        <w:gridCol w:w="4760"/>
        <w:gridCol w:w="1600"/>
      </w:tblGrid>
      <w:tr>
        <w:trPr>
          <w:tblHeader w:val="true"/>
        </w:trPr>
        <w:tc>
          <w:tcPr>
            <w:tcW w:type="dxa" w:w="1400"/>
            <w:shd w:fill="E8EEF5"/>
            <w:tcMar>
              <w:top w:w="80" w:type="dxa"/>
              <w:bottom w:w="80" w:type="dxa"/>
              <w:start w:w="120" w:type="dxa"/>
              <w:end w:w="120" w:type="dxa"/>
            </w:tcMar>
            <w:vAlign w:val="center"/>
          </w:tcPr>
          <w:p>
            <w:pPr>
              <w:spacing w:after="0"/>
            </w:pPr>
            <w:r>
              <w:rPr>
                <w:rFonts w:ascii="Calibri" w:hAnsi="Calibri" w:eastAsia="微软雅黑"/>
                <w:b/>
                <w:color w:val="23384D"/>
                <w:sz w:val="18"/>
              </w:rPr>
              <w:t>版本</w:t>
            </w:r>
          </w:p>
        </w:tc>
        <w:tc>
          <w:tcPr>
            <w:tcW w:type="dxa" w:w="1600"/>
            <w:shd w:fill="E8EEF5"/>
            <w:tcMar>
              <w:top w:w="80" w:type="dxa"/>
              <w:bottom w:w="80" w:type="dxa"/>
              <w:start w:w="120" w:type="dxa"/>
              <w:end w:w="120" w:type="dxa"/>
            </w:tcMar>
            <w:vAlign w:val="center"/>
          </w:tcPr>
          <w:p>
            <w:pPr>
              <w:spacing w:after="0"/>
            </w:pPr>
            <w:r>
              <w:rPr>
                <w:rFonts w:ascii="Calibri" w:hAnsi="Calibri" w:eastAsia="微软雅黑"/>
                <w:b/>
                <w:color w:val="23384D"/>
                <w:sz w:val="18"/>
              </w:rPr>
              <w:t>日期</w:t>
            </w:r>
          </w:p>
        </w:tc>
        <w:tc>
          <w:tcPr>
            <w:tcW w:type="dxa" w:w="4760"/>
            <w:shd w:fill="E8EEF5"/>
            <w:tcMar>
              <w:top w:w="80" w:type="dxa"/>
              <w:bottom w:w="80" w:type="dxa"/>
              <w:start w:w="120" w:type="dxa"/>
              <w:end w:w="120" w:type="dxa"/>
            </w:tcMar>
            <w:vAlign w:val="center"/>
          </w:tcPr>
          <w:p>
            <w:pPr>
              <w:spacing w:after="0"/>
            </w:pPr>
            <w:r>
              <w:rPr>
                <w:rFonts w:ascii="Calibri" w:hAnsi="Calibri" w:eastAsia="微软雅黑"/>
                <w:b/>
                <w:color w:val="23384D"/>
                <w:sz w:val="18"/>
              </w:rPr>
              <w:t>变更内容</w:t>
            </w:r>
          </w:p>
        </w:tc>
        <w:tc>
          <w:tcPr>
            <w:tcW w:type="dxa" w:w="1600"/>
            <w:shd w:fill="E8EEF5"/>
            <w:tcMar>
              <w:top w:w="80" w:type="dxa"/>
              <w:bottom w:w="80" w:type="dxa"/>
              <w:start w:w="120" w:type="dxa"/>
              <w:end w:w="120" w:type="dxa"/>
            </w:tcMar>
            <w:vAlign w:val="center"/>
          </w:tcPr>
          <w:p>
            <w:pPr>
              <w:spacing w:after="0"/>
            </w:pPr>
            <w:r>
              <w:rPr>
                <w:rFonts w:ascii="Calibri" w:hAnsi="Calibri" w:eastAsia="微软雅黑"/>
                <w:b/>
                <w:color w:val="23384D"/>
                <w:sz w:val="18"/>
              </w:rPr>
              <w:t>批准人</w:t>
            </w:r>
          </w:p>
        </w:tc>
      </w:tr>
      <w:tr>
        <w:trPr>
          <w:cantSplit/>
        </w:trPr>
        <w:tc>
          <w:tcPr>
            <w:tcW w:type="dxa" w:w="14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V0.1</w:t>
            </w:r>
          </w:p>
        </w:tc>
        <w:tc>
          <w:tcPr>
            <w:tcW w:type="dxa" w:w="16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2026-08-29</w:t>
            </w:r>
          </w:p>
        </w:tc>
        <w:tc>
          <w:tcPr>
            <w:tcW w:type="dxa" w:w="476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初版：形成6个纵向切片，并详细定义切片1。</w:t>
            </w:r>
          </w:p>
        </w:tc>
        <w:tc>
          <w:tcPr>
            <w:tcW w:type="dxa" w:w="1600"/>
            <w:tcMar>
              <w:top w:w="80" w:type="dxa"/>
              <w:bottom w:w="80" w:type="dxa"/>
              <w:start w:w="120" w:type="dxa"/>
              <w:end w:w="120" w:type="dxa"/>
            </w:tcMar>
            <w:vAlign w:val="center"/>
          </w:tcPr>
          <w:p>
            <w:pPr>
              <w:spacing w:after="40" w:line="259" w:lineRule="auto"/>
            </w:pPr>
            <w:r>
              <w:rPr>
                <w:rFonts w:ascii="Calibri" w:hAnsi="Calibri" w:eastAsia="微软雅黑"/>
                <w:color w:val="222222"/>
                <w:sz w:val="18"/>
              </w:rPr>
              <w:t>待评审</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微软雅黑"/>
        <w:color w:val="667085"/>
        <w:sz w:val="18"/>
      </w:rPr>
      <w:t xml:space="preserve">第 </w:t>
    </w:r>
    <w:fldSimple w:instr="PAGE"/>
    <w:r>
      <w:rPr>
        <w:rFonts w:ascii="Calibri" w:hAnsi="Calibri" w:eastAsia="微软雅黑"/>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微软雅黑"/>
        <w:color w:val="667085"/>
        <w:sz w:val="18"/>
      </w:rPr>
      <w:t>福安一期｜实施切片计划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微软雅黑"/>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eastAsia="微软雅黑"/>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微软雅黑"/>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福安一期实施切片计划</dc:title>
  <dc:subject>微信小程序与县域运营后台纵向实施切片</dc:subject>
  <dc:creator>python-docx</dc:creator>
  <cp:keywords>福安, 一期, 实施切片, 小程序, 运营后台</cp:keywords>
  <dc:description>V0.1评审稿；切片1详细到任务和验收。</dc:description>
  <cp:lastModifiedBy/>
  <cp:revision>1</cp:revision>
  <dcterms:created xsi:type="dcterms:W3CDTF">2013-12-23T23:15:00Z</dcterms:created>
  <dcterms:modified xsi:type="dcterms:W3CDTF">2013-12-23T23:15:00Z</dcterms:modified>
  <cp:category/>
</cp:coreProperties>
</file>