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 w:eastAsia="微软雅黑"/>
          <w:b/>
          <w:color w:val="2E74B5"/>
          <w:sz w:val="20"/>
        </w:rPr>
        <w:t>产品范围说明书</w:t>
      </w:r>
    </w:p>
    <w:p>
      <w:pPr>
        <w:spacing w:after="120"/>
      </w:pPr>
      <w:r>
        <w:rPr>
          <w:rFonts w:ascii="Calibri" w:hAnsi="Calibri" w:eastAsia="微软雅黑"/>
          <w:b/>
          <w:color w:val="23384D"/>
          <w:sz w:val="52"/>
        </w:rPr>
        <w:t>福安一期范围说明书</w:t>
      </w:r>
    </w:p>
    <w:p>
      <w:pPr>
        <w:spacing w:after="280"/>
      </w:pPr>
      <w:r>
        <w:rPr>
          <w:rFonts w:ascii="Calibri" w:hAnsi="Calibri" w:eastAsia="微软雅黑"/>
          <w:color w:val="667085"/>
          <w:sz w:val="28"/>
        </w:rPr>
        <w:t>微信小程序与县域运营后台｜评审稿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20"/>
              </w:rPr>
              <w:t>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20"/>
              </w:rPr>
              <w:t>V0.1（评审稿）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20"/>
              </w:rPr>
              <w:t>编制日期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20"/>
              </w:rPr>
              <w:t>2026-08-29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20"/>
              </w:rPr>
              <w:t>适用范围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20"/>
              </w:rPr>
              <w:t>福安市一期；tenantCode=fuan；countyCode=350981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20"/>
              </w:rPr>
              <w:t>文档目的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20"/>
              </w:rPr>
              <w:t>冻结一期边界、业务闭环、角色权限、交付切片与验收口径，作为产品、设计、研发、测试共同基线。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20"/>
              </w:rPr>
              <w:t>配套基线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20"/>
              </w:rPr>
              <w:t>《福安一期_小程序与运营后台页面清单及接口对照表_V0.1》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20"/>
              </w:rPr>
              <w:t>当前状态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20"/>
              </w:rPr>
              <w:t>待产品、业务、技术、设计、测试联合评审；未确认项不得视为最终承诺。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5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2E74B5"/>
                <w:sz w:val="20"/>
              </w:rPr>
              <w:t xml:space="preserve">使用说明  </w:t>
            </w:r>
            <w:r>
              <w:rPr>
                <w:rFonts w:ascii="Calibri" w:hAnsi="Calibri" w:eastAsia="微软雅黑"/>
                <w:color w:val="333333"/>
                <w:sz w:val="20"/>
              </w:rPr>
              <w:t>本说明书回答“为什么做、为谁做、一期做到哪里、什么算完成”；页面与接口的逐项清单仍以配套对照表为准。若两份文件冲突，须先形成变更记录，再同步升级版本。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0. 评审摘要</w:t>
      </w:r>
    </w:p>
    <w:p>
      <w:r>
        <w:rPr>
          <w:rFonts w:ascii="Calibri" w:hAnsi="Calibri" w:eastAsia="微软雅黑"/>
          <w:sz w:val="22"/>
        </w:rPr>
        <w:t>福安一期的交付目标是建立一个可运行、可运营、可追踪责任的县域农事服务最小闭环，而不是一次性覆盖支付、结算、追溯、隐私通话、跨县协同或AI能力。项目采用“小程序服务触点＋县域运营后台”的双端形态，第一实施切片从后台登录与运营工作台开始。</w:t>
      </w:r>
    </w:p>
    <w:p>
      <w:r>
        <w:rPr>
          <w:rFonts w:ascii="Calibri" w:hAnsi="Calibri" w:eastAsia="微软雅黑"/>
          <w:b/>
          <w:color w:val="23384D"/>
          <w:sz w:val="22"/>
        </w:rPr>
        <w:t>评审通过条件：</w:t>
      </w:r>
      <w:r>
        <w:rPr>
          <w:rFonts w:ascii="Calibri" w:hAnsi="Calibri" w:eastAsia="微软雅黑"/>
          <w:sz w:val="22"/>
        </w:rPr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确认本说明书第2章的范围决策，特别是工单闭环、供需撮合、工作台待办、配置发布和一期依据文件。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确认第5章核心流程与第6章状态规则，确保页面操作与后端状态一致。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确认第9章切片顺序与第10章验收门槛；未通过门槛不得进入下一切片。</w:t>
      </w:r>
    </w:p>
    <w:p>
      <w:pPr>
        <w:pStyle w:val="Heading1"/>
        <w:keepNext/>
      </w:pPr>
      <w:r>
        <w:t>1. 项目目标与成功定义</w:t>
      </w:r>
    </w:p>
    <w:p>
      <w:pPr>
        <w:pStyle w:val="Heading2"/>
        <w:keepNext/>
      </w:pPr>
      <w:r>
        <w:t>1.1 产品目标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为福安市种植户、服务方和代录人员提供统一的农事服务申请、工单履约、农事记录与消息入口。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为县域运营人员提供主体审核、地块核验、服务调度、供需审核、参数配置和审计提权能力。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通过统一租户上下文、接口信封、分页、错误码和幂等规则，为后续真实接口替换Mock提供稳定契约。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形成可验收的最小业务闭环，并为后续支付、追溯等二期能力预留边界，而不在一期提前实现。</w:t>
      </w:r>
    </w:p>
    <w:p>
      <w:pPr>
        <w:pStyle w:val="Heading2"/>
        <w:keepNext/>
      </w:pPr>
      <w:r>
        <w:t>1.2 一期成功标准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860"/>
        <w:gridCol w:w="320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维度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一期成功定义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范围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所有上线功能均属于本说明书纳入范围，排除项不出现在一期导航和操作入口。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版本化范围清单、菜单截图、回归记录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闭环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地块建档与核验、服务需求与工单履约、农事记录同步均可完成关键状态流转。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端到端测试用例、状态历史、审计日志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可运营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县域人员可以看到指标和待办，并从待办进入相应处理页面。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工作台数据、跳转条件、处理结果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契约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Mock与真实接口使用相同响应信封；分页、幂等、错误码规则一致。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OpenAPI、Mock测试、契约测试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安全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租户由可信上下文解析；敏感信息脱敏；越权访问被拒绝并记录。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权限用例、接口日志、脱敏检查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范围原则与拟定决策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C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7A5A00"/>
                <w:sz w:val="20"/>
              </w:rPr>
              <w:t xml:space="preserve">评审状态  </w:t>
            </w:r>
            <w:r>
              <w:rPr>
                <w:rFonts w:ascii="Calibri" w:hAnsi="Calibri" w:eastAsia="微软雅黑"/>
                <w:color w:val="333333"/>
                <w:sz w:val="20"/>
              </w:rPr>
              <w:t>以下C01-C05为建议写入的拟定结论，当前均需正式确认。评审后将状态改为“已确认”，并形成V1.0范围基线。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200"/>
        <w:gridCol w:w="5360"/>
        <w:gridCol w:w="1100"/>
      </w:tblGrid>
      <w:tr>
        <w:trPr>
          <w:tblHeader w:val="true"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编号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议题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拟定结论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C01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小程序订单/工单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纳入一期最小闭环：只读详情、服务方签到与履约、种植户验收或驳回；不含支付与退款。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待确认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C02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小程序供需撮合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不纳入默认验收，仅保留“建设中”入口；不得依赖支付或隐私通话。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待确认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C03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第1切片工作台待办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纳入。使用一个聚合接口返回五类待办计数与跳转条件。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待确认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C04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参数配置发布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纳入一期后段：支持查看、新建版本、审批发布与留痕；不进入第1切片。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待确认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C05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一期范围依据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取得《一期范围说明书》原始依据后做差异校准；不得借校准扩大本轮范围。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待确认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范围控制原则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单县原则：一期仅服务福安市，不提供跨县选择、跨县数据或跨县运营能力。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最小闭环原则：优先完成可被真实用户走通、可被运营人员处理的闭环，不以页面数量作为完成标准。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服务端裁决原则：权限、允许动作和状态转换由服务端决定，前端只按allowedActions展示操作。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契约先行原则：接口字段、枚举、错误码和幂等规则冻结后再实施页面联调。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二期隔离原则：支付、分账、退款对账、一品一码追溯、隐私通话、AI和跨县能力不得形成一期依赖。</w:t>
      </w:r>
    </w:p>
    <w:p>
      <w:pPr>
        <w:pStyle w:val="Heading1"/>
        <w:keepNext/>
      </w:pPr>
      <w:r>
        <w:t>3. 用户角色与职责边界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60"/>
        <w:gridCol w:w="330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角色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一期主要任务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关键权限边界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种植户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维护本人地块；发布农事服务需求；查看工单；验收/驳回；维护农事记录。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仅访问本人或被授权地块、需求、工单和记录。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服务方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查看本人/本团队工单；现场签到；提交履约记录和附件引用；维护相关农事记录。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只能对已分派且状态允许的工单操作。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代录人员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在授权范围内协助地块和农事记录录入。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需记录代录来源；不得取得运营审核权限。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供应方/采购方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一期仅承接已有供应数据或占位入口，具体前台发布能力待范围确认。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不得进入支付、隐私通话或跨县交易。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县域运营人员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查看工作台；处理主体、地块、工单、供需、配置和审计待办。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按岗位授权；敏感字段脱敏；关键动作必须审计。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审核/审批人员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完成身份、供应、配置发布和临时提权审批。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申请人与审批人分离；高风险动作遵循双人审批。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一期功能范围</w:t>
      </w:r>
    </w:p>
    <w:p>
      <w:pPr>
        <w:pStyle w:val="Heading2"/>
        <w:keepNext/>
      </w:pPr>
      <w:r>
        <w:t>4.1 微信小程序纳入范围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6560"/>
        <w:gridCol w:w="120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模块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一期范围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启动与登录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微信code登录、JWT、用户与身份、福安配置、失败重试与退出。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首页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附近资源、热门服务、成熟提醒、采购摘要、待同步提示和快捷入口。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资源地图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福安定位、经审核资源/地块脱敏点位、筛选、详情或导航入口。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地块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列表、详情、新建、编辑、面积/位置/品种/种植季、核验状态。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农事服务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选择地块和服务类型、发布需求、查看本人需求和工单摘要。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订单/工单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详情、状态历史、签到、履约、验收/驳回；以C01确认结果为准。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农事记录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列表、草稿、在线新增、离线队列、恢复网络后的逐项幂等同步。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消息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系统与服务状态消息、未读数、列表和标记已读。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我的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当前身份、认证状态、福安上下文、业务入口、身份切换和退出。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供需撮合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仅建设中入口，不纳入默认验收；以C02确认结果为准。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P2/占位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县域运营后台纳入范围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6500"/>
        <w:gridCol w:w="12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模块</w:t>
            </w:r>
          </w:p>
        </w:tc>
        <w:tc>
          <w:tcPr>
            <w:tcW w:type="dxa" w:w="6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一期范围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登录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短信验证码Mock登录、会话恢复、过期处理和退出。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P0/切片1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运营工作台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福安上下文、七大指标域、近7日趋势、五类待办摘要和跳转。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P0/切片1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会员与主体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分页筛选、详情、认证记录、身份审核、黑名单展示。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地块核验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列表、详情、面积/几何/所有者/历史、通过/驳回/转纠偏。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服务调度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需求与工单、详情、超时识别、分派/改派、争议入口。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供需审核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供应列表、详情、材料、上架/驳回、推广标识和有效核验时间。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P1，需明确数据来源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参数配置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模板列表、版本详情、新建版本、审批发布和留痕。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P1/后段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审计与提权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审计查询、临时提权申请、双人审批、到期回收。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明确排除范围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支付、分账、退款、结算对账和财务运营页面。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一品一码、追溯上报、追溯同步和面向消费者的追溯查询。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隐私通话、虚拟号码、即时聊天和跨主体实时通信。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AI识别、AI生成、自动决策或未经人工确认的AI数据入库。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跨县租户选择、跨县运营、跨县数据聚合和跨县订单协同。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一期未明确的数据大屏、复杂报表导出、批量运营自动化。</w:t>
      </w:r>
    </w:p>
    <w:p>
      <w:pPr>
        <w:pStyle w:val="Heading1"/>
        <w:keepNext/>
      </w:pPr>
      <w:r>
        <w:t>5. 核心业务流程</w:t>
      </w:r>
    </w:p>
    <w:p>
      <w:pPr>
        <w:pStyle w:val="Heading2"/>
        <w:keepNext/>
      </w:pPr>
      <w:r>
        <w:t>5.1 登录与福安上下文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小程序通过wx.login取得code；后台通过手机号和Mock验证码进入登录流程。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认证接口返回统一响应信封，data中包含token与当前用户摘要。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客户端使用token请求/users/me与/tenants/current/config，恢复身份和福安上下文。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租户只能由JWT或可信入口解析；前端不得通过tenantId决定数据源。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token无效或过期时返回401统一错误信封，清理本地会话并回到登录入口。</w:t>
      </w:r>
    </w:p>
    <w:p>
      <w:pPr>
        <w:pStyle w:val="Heading2"/>
        <w:keepNext/>
      </w:pPr>
      <w:r>
        <w:t>5.2 地块建档与核验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种植户或授权代录人员创建地块，填写位置、面积、品种和种植季等信息。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系统保存为待核验状态；重复提交使用Idempotency-Key避免重复数据。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运营人员在后台查看地块详情、几何、所有者和变更历史。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运营人员执行通过、驳回或转纠偏；系统更新核验时间、原因和审计日志。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小程序展示最新核验状态；未锁定信息可按version进行乐观锁编辑。</w:t>
      </w:r>
    </w:p>
    <w:p>
      <w:pPr>
        <w:pStyle w:val="Heading2"/>
        <w:keepNext/>
      </w:pPr>
      <w:r>
        <w:t>5.3 服务需求与工单履约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种植户选择已具备使用条件的地块和服务类型，发布服务需求。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运营后台查看需求/工单并分派或改派服务团队；分派动作需幂等并记录操作人。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服务方到达现场后GPS签到；超出允许距离时返回约定业务错误。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服务方提交履约内容和附件引用；系统保留状态历史与履约证据。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种植户验收通过或驳回；非法状态操作返回409，不涉及一期资金处理。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履约产生农事记录时必须去重，避免人工记录与工单自动记录重复。</w:t>
      </w:r>
    </w:p>
    <w:p>
      <w:pPr>
        <w:pStyle w:val="Heading2"/>
        <w:keepNext/>
      </w:pPr>
      <w:r>
        <w:t>5.4 农事记录与离线同步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弱网或离线时在本地形成草稿及clientSeq，不将未确认内容伪装为已同步。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恢复网络后批量提交同步请求；服务端按clientSeq逐项返回成功、重复或失败结果。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成功项从队列移除，失败项保留原因和重试入口；相同clientSeq重复提交不得生成新记录。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AI或代录来源的记录默认待确认，本期不实现AI生成能力。</w:t>
      </w:r>
    </w:p>
    <w:p>
      <w:pPr>
        <w:pStyle w:val="Heading2"/>
        <w:keepNext/>
      </w:pPr>
      <w:r>
        <w:t>5.5 供需审核边界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9B1C1C"/>
                <w:sz w:val="20"/>
              </w:rPr>
              <w:t xml:space="preserve">范围冲突待处理  </w:t>
            </w:r>
            <w:r>
              <w:rPr>
                <w:rFonts w:ascii="Calibri" w:hAnsi="Calibri" w:eastAsia="微软雅黑"/>
                <w:color w:val="333333"/>
                <w:sz w:val="20"/>
              </w:rPr>
              <w:t>当前基线一方面将小程序供需撮合设为占位，另一方面将后台供需审核列为一期必做。评审必须明确供应信息的数据来源：已有存量数据、运营代录、其他系统同步，或调整后台模块范围。未明确前，不启动AD-06详细设计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状态与操作规则</w:t>
      </w:r>
    </w:p>
    <w:p>
      <w:pPr>
        <w:pStyle w:val="Heading2"/>
        <w:keepNext/>
      </w:pPr>
      <w:r>
        <w:t>6.1 工单建议状态机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900"/>
        <w:gridCol w:w="2960"/>
        <w:gridCol w:w="220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状态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进入条件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允许动作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主要角色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待分派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服务需求已受理并形成工单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分派、取消（按规则）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运营人员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待执行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已分派服务团队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改派、服务方签到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运营人员/服务方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执行中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签到成功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提交履约、异常上报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服务方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待验收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履约提交成功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验收通过、驳回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种植户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已完成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验收通过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只读查看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相关角色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已驳回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种植户驳回履约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补充履约或运营介入，具体规则待确认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服务方/运营人员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已取消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满足取消规则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只读查看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相关角色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其他核心状态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对象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建议状态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必须明确的规则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地块核验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草稿、待核验、已通过、已驳回、待纠偏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通过后哪些字段锁定；纠偏完成如何回到核验。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身份认证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待提交、待审核、已通过、已驳回、已停用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驳回原因、重新提交、停用影响和历史保留。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供应信息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草稿、待审核、已上架、已驳回、已下架、已过期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数据来源、推广标识权限、过期处理与联系方式脱敏。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模板版本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草稿、待审批、已发布、已停用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已发布版本不可覆盖；发布人与审批人权限分离。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临时提权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待审批、已通过、已驳回、已生效、已到期、已回收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双人审批、有效期、回收机制和全量审计。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页面、数据与接口边界</w:t>
      </w:r>
    </w:p>
    <w:p>
      <w:pPr>
        <w:pStyle w:val="Heading2"/>
        <w:keepNext/>
      </w:pPr>
      <w:r>
        <w:t>7.1 页面设计要求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每个页面需定义加载态、空态、失败态、无权限态和弱网/离线态。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所有操作按钮必须对应服务端返回的allowedActions或明确权限规则，不得只依赖前端角色判断。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列表筛选项、默认排序、分页方式、字段脱敏和导出边界需在页面原型中标注。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二期功能在一期要么隐藏，要么明确显示“建设中”，不得出现可点击但无法闭环的伪入口。</w:t>
      </w:r>
    </w:p>
    <w:p>
      <w:pPr>
        <w:pStyle w:val="Heading2"/>
        <w:keepNext/>
      </w:pPr>
      <w:r>
        <w:t>7.2 API基线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主题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一期统一要求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业务接口统一以/api/v1开头；页面对照表中的路径在评审后成为冻结基线。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响应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HTTP层统一返回code、errorCode、message、data、traceId、timestamp；Mock不得裸返回data。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认证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除登录外使用Authorization: Bearer &lt;token&gt;；无会话统一返回401。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租户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服务端从JWT/可信入口解析fuan；前端不得提交tenantId选择数据源。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分页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data={items,total,page,size,hasNext}；page从1开始，size默认20、最大100。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创建、审核、分派、签到、履约、验收和同步使用Idempotency-Key或clientSeq。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追踪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请求支持X-Request-Id，响应返回可检索traceId，关键写操作进入审计日志。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开发前必须补齐的契约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020"/>
        <w:gridCol w:w="274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缺口</w:t>
            </w:r>
          </w:p>
        </w:tc>
        <w:tc>
          <w:tcPr>
            <w:tcW w:type="dxa" w:w="5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需要补齐的内容</w:t>
            </w:r>
          </w:p>
        </w:tc>
        <w:tc>
          <w:tcPr>
            <w:tcW w:type="dxa" w:w="27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影响模块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需求转工单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生成时机、编号规则、重复需求处理、初始状态和责任方。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农事服务、服务调度、工单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服务团队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团队查询、可用性、分派对象、改派约束和权限。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后台服务调度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附件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上传接口、文件类型/大小、病毒检查、引用方式、访问权限和留存。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履约证据、审核材料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消息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触发事件、接收人、去重、已读、失败补偿和保留期限。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消息、首页未读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地图隐私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坐标脱敏方法、缩放级别、展示范围、导航跳转与越权保护。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资源地图、地块详情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供需来源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存量、代录或外部同步三选一，并明确审核前后的数据责任。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小程序供需、后台供需审核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配置审批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版本发布对应的审批对象、权限、驳回与回滚规则。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参数配置、审计提权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非功能与合规要求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类别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一期要求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安全与权限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最小权限；服务端鉴权；关键动作审计；申请人与审批人分离；越权返回统一403错误。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隐私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手机号和联系方式脱敏；地图严禁返回精确私有坐标；日志不得记录token、验证码和完整敏感字段。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可靠性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写操作幂等；token过期可恢复；失败可重试；离线同步逐项返回结果。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性能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具体指标由技术方案补充；产品验收至少覆盖首屏加载、列表翻页、弱网和空数据场景。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兼容性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小程序支持项目约定的微信基础库版本；后台支持项目指定的主流桌面浏览器版本。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可观测性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请求具备traceId；关键业务状态保留历史；Mock也应生成可检索追踪值。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可访问性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表单标签明确、键盘焦点可见、颜色不作为唯一状态提示、错误信息可理解。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实施切片与依赖顺序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930"/>
        <w:gridCol w:w="2690"/>
        <w:gridCol w:w="274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切片</w:t>
            </w:r>
          </w:p>
        </w:tc>
        <w:tc>
          <w:tcPr>
            <w:tcW w:type="dxa" w:w="29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交付范围</w:t>
            </w:r>
          </w:p>
        </w:tc>
        <w:tc>
          <w:tcPr>
            <w:tcW w:type="dxa" w:w="26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进入条件</w:t>
            </w:r>
          </w:p>
        </w:tc>
        <w:tc>
          <w:tcPr>
            <w:tcW w:type="dxa" w:w="27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切片1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后台登录＋运营工作台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C03确认；统一信封与登录契约冻结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七类登录/工作台验收场景通过；二期菜单隐藏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切片2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小程序登录＋首页＋我的＋身份切换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微信登录、用户、租户配置契约冻结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福安上下文正确；身份切换和会话异常可恢复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切片3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地块建档＋后台核验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地块字段、几何和状态机冻结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新建、编辑、核验、驳回、越权与冲突用例通过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切片4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服务需求＋分派＋签到＋履约＋验收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C01确认；团队、附件和工单状态机冻结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最小服务闭环端到端通过，不产生资金依赖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切片5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农事记录＋离线同步＋消息＋地图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同步、消息触发和坐标脱敏规则冻结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弱网重试、幂等、已读和脱敏用例通过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切片6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会员、供需、配置、审计提权完善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供需来源与配置审批规则确认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各审核/审批链路与审计记录通过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验收与上线门槛</w:t>
      </w:r>
    </w:p>
    <w:p>
      <w:pPr>
        <w:pStyle w:val="Heading2"/>
        <w:keepNext/>
      </w:pPr>
      <w:r>
        <w:t>10.1 通用验收场景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成功路径：正常输入、状态流转、数据回显和操作反馈正确。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失败路径：字段错误、业务错误、无权限、会话失效、接口超时和服务异常均有明确反馈。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边界路径：空列表、最大分页、重复提交、重复已读、重复同步和并发编辑处理正确。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弱网路径：加载中、重试、离线草稿、恢复网络与部分同步失败可理解、可恢复。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权限路径：不同角色看到的菜单、字段、按钮和allowedActions符合权限矩阵。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sz w:val="22"/>
        </w:rPr>
        <w:t>审计路径：身份审核、地块核验、分派、供需审核、配置发布和提权审批均可追踪。</w:t>
      </w:r>
    </w:p>
    <w:p>
      <w:pPr>
        <w:pStyle w:val="Heading2"/>
        <w:keepNext/>
      </w:pPr>
      <w:r>
        <w:t>10.2 切片1专项验收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00"/>
        <w:gridCol w:w="516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编号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场景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S1-01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验证码000000登录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返回统一成功信封，保存会话并进入工作台。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S1-02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验证码错误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显示可理解错误，不建立会话。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S1-03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刷新页面恢复会话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通过/users/me恢复管理员和权限。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S1-04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token过期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收到401后清理会话并返回登录页。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S1-05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指标正常/空值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七大指标和趋势正确展示；空值显示0，不出现空白或NaN。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S1-06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待办摘要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五类计数正确；点击带条件跳转对应列表。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S1-07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接口失败重试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保留页面上下文，给出重试入口，成功后恢复。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S1-08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退出登录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清理token与缓存，受保护页面不可继续访问。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S1-09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一期菜单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财务、追溯隐藏；未实现菜单按评审结论隐藏或只展示不可进入。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交付物与职责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200"/>
        <w:gridCol w:w="46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交付物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责任角色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范围说明书V1.0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产品负责人＋业务负责人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C01-C05签署；纳入/排除边界无冲突。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用户流程与状态机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产品负责人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每个关键状态有进入条件、允许动作、异常和责任角色。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页面原型与交互说明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产品＋设计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覆盖字段、校验、加载/空/错/无权限/弱网状态。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权限矩阵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产品＋安全/技术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角色、资源、动作和字段级权限可测试。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OpenAPI与Mock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后端＋前端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契约一致；统一信封、分页、错误码和幂等测试通过。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测试用例与验收报告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测试＋产品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端到端、权限、异常和回归用例通过。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上线与回滚方案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技术负责人＋运维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配置、数据、监控、回滚条件和责任人明确。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依赖、风险与处理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700"/>
        <w:gridCol w:w="3160"/>
        <w:gridCol w:w="90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风险/依赖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影响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处理建议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等级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缺少原始《一期范围说明书》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现有范围可能与正式依据存在偏差。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上线前完成差异校准并保留变更记录。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供需前台占位与后台审核并存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后台模块可能没有合法数据来源。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评审明确存量、代录、外部同步或缩减后台范围。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需求转工单规则缺失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服务闭环无法稳定实现。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切片4前冻结生成时机、编号、初始状态和去重。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附件上传契约缺失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履约和审核材料无法落地。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补充文件服务和访问控制后再实现相关动作。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地图数据仍硬编码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隐私和真实展示效果无法验证。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切片5前确定脱敏算法、样例数据和越权测试。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Mock信封不一致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联调时产生重复改造。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切片1开始前统一API Client和所有Mock响应。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第1切片范围扩张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登录与工作台迟迟不能验收。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只纳入C03待办摘要，不提前实现其下游处理页面。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7"/>
              </w:rPr>
              <w:t>中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变更控制与签署</w:t>
      </w:r>
    </w:p>
    <w:p>
      <w:r>
        <w:rPr>
          <w:rFonts w:ascii="Calibri" w:hAnsi="Calibri" w:eastAsia="微软雅黑"/>
          <w:sz w:val="22"/>
        </w:rPr>
        <w:t>范围基线通过后，任何新增页面、接口、角色、状态或外部系统依赖都必须提交变更记录。变更记录至少包含变更原因、业务价值、影响切片、接口/数据影响、测试影响、交付时间影响和批准人。紧急修复不得借机扩大产品范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00"/>
        <w:gridCol w:w="3560"/>
        <w:gridCol w:w="160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评审角色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姓名/部门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结论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日期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  <w:t>业务负责人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  <w:t>□同意  □有条件同意  □退回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  <w:t>产品负责人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  <w:t>□同意  □有条件同意  □退回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  <w:t>技术负责人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  <w:t>□同意  □有条件同意  □退回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  <w:t>设计负责人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  <w:t>□同意  □有条件同意  □退回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  <w:t>测试负责人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  <w:t>□同意  □有条件同意  □退回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附录A：评审会建议议程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确认一期目标、单县边界和排除范围。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逐项决策C01-C05并记录批准人。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处理供需数据来源、需求转工单、附件和配置审批四个关键缺口。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确认核心状态机、角色权限和异常回退。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冻结切片1范围、接口契约和专项验收用例。</w:t>
      </w:r>
    </w:p>
    <w:p>
      <w:pPr>
        <w:pStyle w:val="ListNumber"/>
        <w:spacing w:after="80" w:line="300" w:lineRule="auto"/>
      </w:pPr>
      <w:r>
        <w:rPr>
          <w:rFonts w:ascii="Calibri" w:hAnsi="Calibri" w:eastAsia="微软雅黑"/>
          <w:sz w:val="22"/>
        </w:rPr>
        <w:t>明确V1.0修订责任人与日期。</w:t>
      </w:r>
    </w:p>
    <w:p>
      <w:pPr>
        <w:pStyle w:val="Heading1"/>
        <w:keepNext/>
      </w:pPr>
      <w:r>
        <w:t>附录B：术语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术语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23384D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一期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本说明书约定的福安市首阶段交付范围，不等同于全部规划能力。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切片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能够独立联调和验收的一组端到端功能，不只是若干页面。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福安上下文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由可信认证信息解析出的tenantCode=fuan与countyCode=350981及功能开关。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统一信封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由code、errorCode、message、data、traceId、timestamp组成的HTTP响应结构。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相同业务请求重复提交不会生成重复业务结果。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allowedActions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color w:val="222222"/>
                <w:sz w:val="18"/>
              </w:rPr>
              <w:t>服务端根据角色、状态和数据权限返回的当前允许操作集合。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667085"/>
        <w:sz w:val="18"/>
      </w:rPr>
      <w:t xml:space="preserve">第 </w:t>
    </w:r>
    <w:fldSimple w:instr="PAGE"/>
    <w:r>
      <w:rPr>
        <w:rFonts w:ascii="Calibri" w:hAnsi="Calibri" w:eastAsia="微软雅黑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667085"/>
        <w:sz w:val="18"/>
      </w:rPr>
      <w:t>福安一期｜产品范围基线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微软雅黑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福安一期范围说明书</dc:title>
  <dc:subject>微信小程序与县域运营后台一期范围基线</dc:subject>
  <dc:creator>python-docx</dc:creator>
  <cp:keywords>福安, 一期, 小程序, 运营后台, 范围说明书</cp:keywords>
  <dc:description>V0.1评审稿；待C01-C05正式确认后升级V1.0。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