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3c7f223 · 329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329 个自动化测试，CI 覆盖构建、类型、测试与发布元数据；精确检索、ANN、全文、融合、RAG、单文件容器与浏览器 SQL 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329 个全绿（SDK 209 / DuckDB 25 / WASM 38 / USearch 13 / CLI 44）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行为闸门（含 SQL 契约），另有派生索引、容器、bench:wasm 冒烟与 Chromium 探针作业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精确向量、ANN（含分布对照）、全文（含体积拆分）、浏览器一致性、DuckDB-Wasm 物化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浏览器 SQL（含只读 CTE）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1.37–1.70 s，查询 &lt; 50 ms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@duckdb/duckdb-wasm 1.32.0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只读边界、参数绑定、两种表加载、两层字节预算、取消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关键字白名单、CTE 分类、值映射、两层预算、取消、错误契约、真实 WASM 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 → bench:wasm 冒烟（1k 行物化）。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与完整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过滤查询（窄连续）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15.1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 + 连续段读取；散乱 1/8 回退顺序扫描 135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量化（合成，成簇）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f16 −39% 无损 / i8 −58% 掉 9.5 点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50k × 128，64 簇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提高 expansion 不能恢复 i8；真实语料未测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+ 9 SQL + 5 流式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物化 500k 行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298 ms，RSS ~+76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18.8 MB Parquet，Node 内同一 WASM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4× Parquet；浏览器未测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浏览器流式读取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100k/1M/5M：126/871/4,542 ms，首行 5–16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1248，sqlStream(range())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单次运行、合成数据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Parquet 流式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 万/50 万行：流式 430/2,165 ms；db.sql 堆 +40.6/+95.4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7.5/18.8 MB Parquet，Range + L3 + 物化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1,963/2,430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浏览器冷启动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1,817 ms；传输 36.3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1248，关闭 HTTP 缓存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本地服务器，无 CDN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取消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202 ms 查询 → 51 ms 返回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abort 于 50 ms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引擎未停（engineMayStillRun）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参数类型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绑定；Date、二进制与超范围 bigint 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SQL 结果规模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maxRows 超限硬失败；sqlStream() 提供增量交付，db.sql() 仍一次性返回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浏览器大表与冷启动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只测了 Node 内的同一 WASM 构建（500k 行），浏览器内存与 34 MB 首载未测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/ 多线程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已试不可用：parquet 扩展与共享内存 ABI 不兼容（ADR-063）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70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057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在构建时签名，发布链路少一步补签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065 / 066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用 DuckDB-Wasm、扩展同源自托管；066 用 tokenizer 支持只读 CTE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063 / 064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多线程因扩展不兼容不采用；取消只承诺立即停止等待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物化预算分单表与整包两层，且在建库前检查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329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核对五个包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补齐 SQL Adapter 的共享契约测试，覆盖 Node 与 DuckDB-Wasm 两个实现。</w:t>
      </w:r>
    </w:p>
    <w:p>
      <w:r>
        <w:rPr>
          <w:rFonts w:ascii="微软雅黑" w:hAnsi="微软雅黑" w:eastAsia="微软雅黑" w:cs="微软雅黑"/>
          <w:sz w:val="21"/>
        </w:rPr>
        <w:t>4. 为 db.sql 增加行数上限或流式返回，避免大结果把浏览器打爆。</w:t>
      </w:r>
    </w:p>
    <w:p>
      <w:r>
        <w:rPr>
          <w:rFonts w:ascii="微软雅黑" w:hAnsi="微软雅黑" w:eastAsia="微软雅黑" w:cs="微软雅黑"/>
          <w:sz w:val="21"/>
        </w:rPr>
        <w:t>5. 第二台机器复现基准，并在真实 CDN 上验收 CORS / Range / 缓存。</w:t>
      </w:r>
    </w:p>
    <w:p>
      <w:r>
        <w:rPr>
          <w:rFonts w:ascii="微软雅黑" w:hAnsi="微软雅黑" w:eastAsia="微软雅黑" w:cs="微软雅黑"/>
          <w:sz w:val="21"/>
        </w:rPr>
        <w:t>6.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