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c267b0e · 247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与数据包格式稳定，四个包共 252 个自动化测试，CI 覆盖构建、类型、测试与发布元数据；精确检索、ANN、全文、融合、RAG 与单文件容器均有实现与实测数字。尚未发布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252 个全绿（SDK 185 / DuckDB 20 / USearch 13 / CLI 34）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行为闸门，另有派生索引与容器作业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篡改与信任固定均拒绝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185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34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252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Parquet 扩展需从外部下载，当前不可达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45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252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核对四个包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第二台机器复现基准，形成区间而非单点。</w:t>
      </w:r>
    </w:p>
    <w:p>
      <w:r>
        <w:rPr>
          <w:rFonts w:ascii="微软雅黑" w:hAnsi="微软雅黑" w:eastAsia="微软雅黑" w:cs="微软雅黑"/>
          <w:sz w:val="21"/>
        </w:rPr>
        <w:t>4.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