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微软雅黑" w:hAnsi="微软雅黑" w:eastAsia="微软雅黑" w:cs="微软雅黑"/>
          <w:b/>
          <w:color w:val="1F3864"/>
          <w:sz w:val="44"/>
        </w:rPr>
        <w:t>WeiSQL AI 项目状态报告</w:t>
      </w:r>
    </w:p>
    <w:p>
      <w:r>
        <w:rPr>
          <w:rFonts w:ascii="微软雅黑" w:hAnsi="微软雅黑" w:eastAsia="微软雅黑" w:cs="微软雅黑"/>
          <w:color w:val="595959"/>
          <w:sz w:val="20"/>
        </w:rPr>
        <w:t>2026-10-31 · 仓库 HEAD 908dda8 · 325 个自动化测试 · 尚未发布 npm</w:t>
      </w:r>
    </w:p>
    <w:p>
      <w:pPr>
        <w:pStyle w:val="Heading1"/>
      </w:pPr>
      <w:r>
        <w:t>1. 一句话状态</w:t>
      </w:r>
    </w:p>
    <w:p>
      <w:r>
        <w:rPr>
          <w:rFonts w:ascii="微软雅黑" w:hAnsi="微软雅黑" w:eastAsia="微软雅黑" w:cs="微软雅黑"/>
          <w:sz w:val="21"/>
        </w:rPr>
        <w:t>工程原型。Manifest V1 与数据包格式稳定，五个包共 325 个自动化测试，CI 覆盖构建、类型、测试与发布元数据；精确检索、ANN、全文、融合、RAG、单文件容器与浏览器 SQL 均有实现与实测数字。尚未发布 npm 包，也没有任何未经测量的性能承诺。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143"/>
      </w:tblGrid>
      <w:tr>
        <w:trPr>
          <w:tblHeader/>
        </w:trPr>
        <w:tc>
          <w:tcPr>
            <w:tcW w:type="dxa" w:w="1814"/>
            <w:shd w:val="clear" w:color="auto" w:fill="D9E2F3"/>
          </w:tcPr>
          <w:p>
            <w:r/>
            <w:r>
              <w:rPr>
                <w:rFonts w:ascii="微软雅黑" w:hAnsi="微软雅黑" w:eastAsia="微软雅黑" w:cs="微软雅黑"/>
                <w:b/>
                <w:color w:val="1F3864"/>
                <w:sz w:val="18"/>
              </w:rPr>
              <w:t>维度</w:t>
            </w:r>
          </w:p>
        </w:tc>
        <w:tc>
          <w:tcPr>
            <w:tcW w:type="dxa" w:w="7143"/>
            <w:shd w:val="clear" w:color="auto" w:fill="D9E2F3"/>
          </w:tcPr>
          <w:p>
            <w:r/>
            <w:r>
              <w:rPr>
                <w:rFonts w:ascii="微软雅黑" w:hAnsi="微软雅黑" w:eastAsia="微软雅黑" w:cs="微软雅黑"/>
                <w:b/>
                <w:color w:val="1F3864"/>
                <w:sz w:val="18"/>
              </w:rPr>
              <w:t>状态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测试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325 个全绿（SDK 209 / DuckDB 25 / WASM 38 / USearch 13 / CLI 40）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CI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GitHub Actions：Ubuntu + Windows 行为闸门（含 SQL 契约），另有派生索引、容器、bench:wasm 冒烟与 Chromium 探针作业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许可证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Apache-2.0（根目录与每个包内各一份）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发布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未发布 npm 包（缺组织与访问令牌）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实测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精确向量、ANN（含分布对照）、全文（含体积拆分）、浏览器一致性、DuckDB-Wasm 物化</w:t>
            </w:r>
          </w:p>
        </w:tc>
      </w:tr>
    </w:tbl>
    <w:p>
      <w:pPr>
        <w:pStyle w:val="Heading1"/>
      </w:pPr>
      <w:r>
        <w:t>2. 能力矩阵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28"/>
        <w:gridCol w:w="964"/>
        <w:gridCol w:w="964"/>
        <w:gridCol w:w="964"/>
        <w:gridCol w:w="2438"/>
      </w:tblGrid>
      <w:tr>
        <w:trPr>
          <w:tblHeader/>
        </w:trPr>
        <w:tc>
          <w:tcPr>
            <w:tcW w:type="dxa" w:w="3628"/>
            <w:shd w:val="clear" w:color="auto" w:fill="D9E2F3"/>
          </w:tcPr>
          <w:p>
            <w:r/>
            <w:r>
              <w:rPr>
                <w:rFonts w:ascii="微软雅黑" w:hAnsi="微软雅黑" w:eastAsia="微软雅黑" w:cs="微软雅黑"/>
                <w:b/>
                <w:color w:val="1F3864"/>
                <w:sz w:val="18"/>
              </w:rPr>
              <w:t>能力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rFonts w:ascii="微软雅黑" w:hAnsi="微软雅黑" w:eastAsia="微软雅黑" w:cs="微软雅黑"/>
                <w:b/>
                <w:color w:val="1F3864"/>
                <w:sz w:val="18"/>
              </w:rPr>
              <w:t>实现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rFonts w:ascii="微软雅黑" w:hAnsi="微软雅黑" w:eastAsia="微软雅黑" w:cs="微软雅黑"/>
                <w:b/>
                <w:color w:val="1F3864"/>
                <w:sz w:val="18"/>
              </w:rPr>
              <w:t>测试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rFonts w:ascii="微软雅黑" w:hAnsi="微软雅黑" w:eastAsia="微软雅黑" w:cs="微软雅黑"/>
                <w:b/>
                <w:color w:val="1F3864"/>
                <w:sz w:val="18"/>
              </w:rPr>
              <w:t>文档</w:t>
            </w:r>
          </w:p>
        </w:tc>
        <w:tc>
          <w:tcPr>
            <w:tcW w:type="dxa" w:w="2438"/>
            <w:shd w:val="clear" w:color="auto" w:fill="D9E2F3"/>
          </w:tcPr>
          <w:p>
            <w:r/>
            <w:r>
              <w:rPr>
                <w:rFonts w:ascii="微软雅黑" w:hAnsi="微软雅黑" w:eastAsia="微软雅黑" w:cs="微软雅黑"/>
                <w:b/>
                <w:color w:val="1F3864"/>
                <w:sz w:val="18"/>
              </w:rPr>
              <w:t>实测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Manifest V1 校验（L1/L2）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—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L3 资源完整性（尺寸 + SHA-256）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L4 Parquet 内容校验（CLI --l4）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HTTP / Node 文件 Reader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有界 LRU 缓存 + 请求合并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—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Runtime 生命周期与能力报告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—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精确向量检索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129–152 ms p50 @100k×128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Hybrid 过滤两策略（等值/IN/范围/日期）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—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DuckDB 只读 SQL（memory / lazy）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—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DuckDB-Wasm 浏览器 SQL（含只读 CTE）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 + 探针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open() 1.37–1.70 s，查询 &lt; 50 ms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USearch ANN（持久化 / 现场构建）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0.385–0.740 Recall@10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ANN 后过滤（显式可选）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—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全文检索 BM25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p50 ≈10.5 ms @100k 文档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RRF 融合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—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RAG 证据组装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端到端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.wsql 单文件容器（pack/validate/unpack/流式）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3.6 KB 包往返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Manifest Ed25519 签名（多签 / 轮换 / root 授权）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篡改、信任固定与有效期均拒绝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浏览器路径（Chromium）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探针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与 Node 逐字段一致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发布前检查 + Apache-2.0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—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CSV/JSON → Parquet 转换工具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</w:t>
            </w:r>
          </w:p>
        </w:tc>
      </w:tr>
    </w:tbl>
    <w:p>
      <w:pPr>
        <w:pStyle w:val="Heading1"/>
      </w:pPr>
      <w:r>
        <w:t>3. 包与依赖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1247"/>
        <w:gridCol w:w="4649"/>
      </w:tblGrid>
      <w:tr>
        <w:trPr>
          <w:tblHeader/>
        </w:trPr>
        <w:tc>
          <w:tcPr>
            <w:tcW w:type="dxa" w:w="3061"/>
            <w:shd w:val="clear" w:color="auto" w:fill="D9E2F3"/>
          </w:tcPr>
          <w:p>
            <w:r/>
            <w:r>
              <w:rPr>
                <w:rFonts w:ascii="微软雅黑" w:hAnsi="微软雅黑" w:eastAsia="微软雅黑" w:cs="微软雅黑"/>
                <w:b/>
                <w:color w:val="1F3864"/>
                <w:sz w:val="18"/>
              </w:rPr>
              <w:t>包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rFonts w:ascii="微软雅黑" w:hAnsi="微软雅黑" w:eastAsia="微软雅黑" w:cs="微软雅黑"/>
                <w:b/>
                <w:color w:val="1F3864"/>
                <w:sz w:val="18"/>
              </w:rPr>
              <w:t>版本</w:t>
            </w:r>
          </w:p>
        </w:tc>
        <w:tc>
          <w:tcPr>
            <w:tcW w:type="dxa" w:w="4649"/>
            <w:shd w:val="clear" w:color="auto" w:fill="D9E2F3"/>
          </w:tcPr>
          <w:p>
            <w:r/>
            <w:r>
              <w:rPr>
                <w:rFonts w:ascii="微软雅黑" w:hAnsi="微软雅黑" w:eastAsia="微软雅黑" w:cs="微软雅黑"/>
                <w:b/>
                <w:color w:val="1F3864"/>
                <w:sz w:val="18"/>
              </w:rPr>
              <w:t>运行时依赖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@weisql/sdk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0.1.0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无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@weisql/duckdb-adapter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0.1.0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@duckdb/node-api 2.0.0-r.1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@weisql/duckdb-wasm-adapter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0.1.0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@duckdb/duckdb-wasm 1.32.0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@weisql/usearch-adapter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0.1.0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usearch 2.26.5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@weisql/cli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0.1.0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@weisql/sdk</w:t>
            </w:r>
          </w:p>
        </w:tc>
      </w:tr>
    </w:tbl>
    <w:p>
      <w:r>
        <w:rPr>
          <w:rFonts w:ascii="微软雅黑" w:hAnsi="微软雅黑" w:eastAsia="微软雅黑" w:cs="微软雅黑"/>
          <w:color w:val="595959"/>
          <w:sz w:val="20"/>
        </w:rPr>
        <w:t>依赖方向单向，下游对 SDK 使用 caret 范围，由 release:check 强制校验。</w:t>
      </w:r>
    </w:p>
    <w:p>
      <w:pPr>
        <w:pStyle w:val="Heading1"/>
      </w:pPr>
      <w:r>
        <w:t>4. 测试与 CI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1020"/>
        <w:gridCol w:w="5329"/>
      </w:tblGrid>
      <w:tr>
        <w:trPr>
          <w:tblHeader/>
        </w:trPr>
        <w:tc>
          <w:tcPr>
            <w:tcW w:type="dxa" w:w="2608"/>
            <w:shd w:val="clear" w:color="auto" w:fill="D9E2F3"/>
          </w:tcPr>
          <w:p>
            <w:r/>
            <w:r>
              <w:rPr>
                <w:rFonts w:ascii="微软雅黑" w:hAnsi="微软雅黑" w:eastAsia="微软雅黑" w:cs="微软雅黑"/>
                <w:b/>
                <w:color w:val="1F3864"/>
                <w:sz w:val="18"/>
              </w:rPr>
              <w:t>包</w:t>
            </w:r>
          </w:p>
        </w:tc>
        <w:tc>
          <w:tcPr>
            <w:tcW w:type="dxa" w:w="1020"/>
            <w:shd w:val="clear" w:color="auto" w:fill="D9E2F3"/>
          </w:tcPr>
          <w:p>
            <w:r/>
            <w:r>
              <w:rPr>
                <w:rFonts w:ascii="微软雅黑" w:hAnsi="微软雅黑" w:eastAsia="微软雅黑" w:cs="微软雅黑"/>
                <w:b/>
                <w:color w:val="1F3864"/>
                <w:sz w:val="18"/>
              </w:rPr>
              <w:t>测试数</w:t>
            </w:r>
          </w:p>
        </w:tc>
        <w:tc>
          <w:tcPr>
            <w:tcW w:type="dxa" w:w="5329"/>
            <w:shd w:val="clear" w:color="auto" w:fill="D9E2F3"/>
          </w:tcPr>
          <w:p>
            <w:r/>
            <w:r>
              <w:rPr>
                <w:rFonts w:ascii="微软雅黑" w:hAnsi="微软雅黑" w:eastAsia="微软雅黑" w:cs="微软雅黑"/>
                <w:b/>
                <w:color w:val="1F3864"/>
                <w:sz w:val="18"/>
              </w:rPr>
              <w:t>覆盖重点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@weisql/sdk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209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校验、Reader、缓存、Builder、精确/融合/RAG、容器、随机输入错误契约、Adapter 契约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@weisql/duckdb-adapter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24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只读边界、参数绑定、两种表加载、两层字节预算、取消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@weisql/duckdb-wasm-adapter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38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关键字白名单、CTE 分类、值映射、两层预算、取消、错误契约、真实 WASM 集成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@weisql/usearch-adapter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13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度量映射、持久化索引、后过滤、生命周期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@weisql/cli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38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校验退出码、--json、pack、unpack、容器校验、--l4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合计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325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</w:r>
          </w:p>
        </w:tc>
      </w:tr>
    </w:tbl>
    <w:p>
      <w:pPr>
        <w:pStyle w:val="ListBullet"/>
      </w:pPr>
      <w:r>
        <w:rPr>
          <w:rFonts w:ascii="微软雅黑" w:hAnsi="微软雅黑" w:eastAsia="微软雅黑" w:cs="微软雅黑"/>
          <w:sz w:val="21"/>
        </w:rPr>
        <w:t>verify 作业：Ubuntu + Windows 矩阵，npm ci → build → typecheck → test → release:check → 示例包校验。</w:t>
      </w:r>
    </w:p>
    <w:p>
      <w:pPr>
        <w:pStyle w:val="ListBullet"/>
      </w:pPr>
      <w:r>
        <w:rPr>
          <w:rFonts w:ascii="微软雅黑" w:hAnsi="微软雅黑" w:eastAsia="微软雅黑" w:cs="微软雅黑"/>
          <w:sz w:val="21"/>
        </w:rPr>
        <w:t>derived 作业：fixture 可复现性（重生成后 git status 必须为空）→ 构建文本/ANN 索引并校验 → 打包容器 → 解包后再次校验 → bench:wasm 冒烟（1k 行物化）。</w:t>
      </w:r>
    </w:p>
    <w:p>
      <w:pPr>
        <w:pStyle w:val="ListBullet"/>
      </w:pPr>
      <w:r>
        <w:rPr>
          <w:rFonts w:ascii="微软雅黑" w:hAnsi="微软雅黑" w:eastAsia="微软雅黑" w:cs="微软雅黑"/>
          <w:sz w:val="21"/>
        </w:rPr>
        <w:t>probe:* 与完整 bench 不在 CI 内：需要 Chromium / Python / 稳定机器，因此浏览器与性能结论必须在本地复现并注明环境。</w:t>
      </w:r>
    </w:p>
    <w:p>
      <w:pPr>
        <w:pStyle w:val="Heading1"/>
      </w:pPr>
      <w:r>
        <w:t>5. 全部实测数字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154"/>
        <w:gridCol w:w="3061"/>
        <w:gridCol w:w="1701"/>
      </w:tblGrid>
      <w:tr>
        <w:trPr>
          <w:tblHeader/>
        </w:trPr>
        <w:tc>
          <w:tcPr>
            <w:tcW w:type="dxa" w:w="2041"/>
            <w:shd w:val="clear" w:color="auto" w:fill="D9E2F3"/>
          </w:tcPr>
          <w:p>
            <w:r/>
            <w:r>
              <w:rPr>
                <w:rFonts w:ascii="微软雅黑" w:hAnsi="微软雅黑" w:eastAsia="微软雅黑" w:cs="微软雅黑"/>
                <w:b/>
                <w:color w:val="1F3864"/>
                <w:sz w:val="18"/>
              </w:rPr>
              <w:t>指标</w:t>
            </w:r>
          </w:p>
        </w:tc>
        <w:tc>
          <w:tcPr>
            <w:tcW w:type="dxa" w:w="2154"/>
            <w:shd w:val="clear" w:color="auto" w:fill="D9E2F3"/>
          </w:tcPr>
          <w:p>
            <w:r/>
            <w:r>
              <w:rPr>
                <w:rFonts w:ascii="微软雅黑" w:hAnsi="微软雅黑" w:eastAsia="微软雅黑" w:cs="微软雅黑"/>
                <w:b/>
                <w:color w:val="1F3864"/>
                <w:sz w:val="18"/>
              </w:rPr>
              <w:t>数值</w:t>
            </w:r>
          </w:p>
        </w:tc>
        <w:tc>
          <w:tcPr>
            <w:tcW w:type="dxa" w:w="3061"/>
            <w:shd w:val="clear" w:color="auto" w:fill="D9E2F3"/>
          </w:tcPr>
          <w:p>
            <w:r/>
            <w:r>
              <w:rPr>
                <w:rFonts w:ascii="微软雅黑" w:hAnsi="微软雅黑" w:eastAsia="微软雅黑" w:cs="微软雅黑"/>
                <w:b/>
                <w:color w:val="1F3864"/>
                <w:sz w:val="18"/>
              </w:rPr>
              <w:t>条件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rFonts w:ascii="微软雅黑" w:hAnsi="微软雅黑" w:eastAsia="微软雅黑" w:cs="微软雅黑"/>
                <w:b/>
                <w:color w:val="1F3864"/>
                <w:sz w:val="18"/>
              </w:rPr>
              <w:t>边界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精确检索 p50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129–152 ms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100k × 128，20 查询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单机、热页缓存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精确检索 I/O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51.2 MB/查询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同上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未做列裁剪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ANN 加速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≈9.5×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100k × 128，expansionSearch=512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合成数据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ANN Recall@10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0.385–0.740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均匀 0.735；紧聚类 0.385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强依赖数据分布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ANN 索引构建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2.7–15.2 s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同上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构建时间随分布变化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过滤查询（窄连续）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p50 15.1 ms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100k 行，尾部 1000 行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反向索引 + 连续段读取；散乱 1/8 回退顺序扫描 135 ms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量化（合成，成簇）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f16 −39% 无损 / i8 −58% 掉 9.5 点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50k × 128，64 簇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提高 expansion 不能恢复 i8；真实语料未测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全文索引体积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74.2 MB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100k 文档、5000 词项、50 tokens/文档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其中正文 33.1 MB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全文查询 p50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10.2–10.8 ms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同上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固定开销 ≈8 ms + 每命中随机读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全文索引构建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4.5 s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同上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含读取 Parquet 文本列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浏览器一致性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8 向量 + 5 文本 + 9 SQL + 5 流式 + RAG + 容器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Chromium 1248 vs Node 24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3 条记录、2 维，不能外推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DuckDB-Wasm 物化 500k 行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298 ms，RSS ~+76 MB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18.8 MB Parquet，Node 内同一 WASM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约 4× Parquet；浏览器未测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浏览器流式读取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100k/1M/5M：126/871/4,542 ms，首行 5–16 ms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Chromium 1248，sqlStream(range())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单次运行、合成数据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浏览器 Parquet 流式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20 万/50 万行：流式 430/2,165 ms；db.sql 堆 +40.6/+95.4 MB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7.5/18.8 MB Parquet，Range + L3 + 物化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open() 1,963/2,430 ms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浏览器冷启动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open() 1,817 ms；传输 36.3 MB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Chromium 1248，关闭 HTTP 缓存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本地服务器，无 CDN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浏览器 SQL 取消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202 ms 查询 → 51 ms 返回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abort 于 50 ms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引擎未停（engineMayStillRun）</w:t>
            </w:r>
          </w:p>
        </w:tc>
      </w:tr>
    </w:tbl>
    <w:p>
      <w:pPr>
        <w:pStyle w:val="Heading2"/>
      </w:pPr>
      <w:r>
        <w:t>5.1 ANN 召回与数据分布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16"/>
        <w:gridCol w:w="2041"/>
        <w:gridCol w:w="1701"/>
      </w:tblGrid>
      <w:tr>
        <w:trPr>
          <w:tblHeader/>
        </w:trPr>
        <w:tc>
          <w:tcPr>
            <w:tcW w:type="dxa" w:w="5216"/>
            <w:shd w:val="clear" w:color="auto" w:fill="D9E2F3"/>
          </w:tcPr>
          <w:p>
            <w:r/>
            <w:r>
              <w:rPr>
                <w:rFonts w:ascii="微软雅黑" w:hAnsi="微软雅黑" w:eastAsia="微软雅黑" w:cs="微软雅黑"/>
                <w:b/>
                <w:color w:val="1F3864"/>
                <w:sz w:val="18"/>
              </w:rPr>
              <w:t>分布（100k × 128，Top-10，expansionSearch=512）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rFonts w:ascii="微软雅黑" w:hAnsi="微软雅黑" w:eastAsia="微软雅黑" w:cs="微软雅黑"/>
                <w:b/>
                <w:color w:val="1F3864"/>
                <w:sz w:val="18"/>
              </w:rPr>
              <w:t>Recall@10 均值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rFonts w:ascii="微软雅黑" w:hAnsi="微软雅黑" w:eastAsia="微软雅黑" w:cs="微软雅黑"/>
                <w:b/>
                <w:color w:val="1F3864"/>
                <w:sz w:val="18"/>
              </w:rPr>
              <w:t>最低</w:t>
            </w:r>
          </w:p>
        </w:tc>
      </w:tr>
      <w:tr>
        <w:tc>
          <w:tcPr>
            <w:tcW w:type="dxa" w:w="5216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均匀随机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0.735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0.400</w:t>
            </w:r>
          </w:p>
        </w:tc>
      </w:tr>
      <w:tr>
        <w:tc>
          <w:tcPr>
            <w:tcW w:type="dxa" w:w="5216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100 簇，spread 1.0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0.740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0.100</w:t>
            </w:r>
          </w:p>
        </w:tc>
      </w:tr>
      <w:tr>
        <w:tc>
          <w:tcPr>
            <w:tcW w:type="dxa" w:w="5216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100 簇，spread 0.35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0.685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0.000</w:t>
            </w:r>
          </w:p>
        </w:tc>
      </w:tr>
      <w:tr>
        <w:tc>
          <w:tcPr>
            <w:tcW w:type="dxa" w:w="5216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10 簇，spread 0.35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0.590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0.000</w:t>
            </w:r>
          </w:p>
        </w:tc>
      </w:tr>
      <w:tr>
        <w:tc>
          <w:tcPr>
            <w:tcW w:type="dxa" w:w="5216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100 簇，spread 0.1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0.385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0.000</w:t>
            </w:r>
          </w:p>
        </w:tc>
      </w:tr>
      <w:tr>
        <w:tc>
          <w:tcPr>
            <w:tcW w:type="dxa" w:w="5216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100 簇，spread 0.1，expansionSearch=2048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0.760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0.000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EEF3FA"/>
          </w:tcPr>
          <w:p>
            <w:r/>
            <w:r>
              <w:rPr>
                <w:rFonts w:ascii="微软雅黑" w:hAnsi="微软雅黑" w:eastAsia="微软雅黑" w:cs="微软雅黑"/>
                <w:color w:val="595959"/>
                <w:sz w:val="20"/>
              </w:rPr>
              <w:t>结论：召回数字必须连同分布与规模一起报告。均匀随机并不是 HNSW 最不利的情形——这一点曾被写入 ADR-030，已在 ADR-043 中用上表数据推翻。</w:t>
            </w:r>
          </w:p>
        </w:tc>
      </w:tr>
    </w:tbl>
    <w:p>
      <w:pPr>
        <w:pStyle w:val="Heading1"/>
      </w:pPr>
      <w:r>
        <w:t>6. 未实现与未验证</w:t>
      </w:r>
    </w:p>
    <w:p>
      <w:pPr>
        <w:pStyle w:val="Heading2"/>
      </w:pPr>
      <w:r>
        <w:t>6.1 外部条件阻塞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123"/>
      </w:tblGrid>
      <w:tr>
        <w:trPr>
          <w:tblHeader/>
        </w:trPr>
        <w:tc>
          <w:tcPr>
            <w:tcW w:type="dxa" w:w="2835"/>
            <w:shd w:val="clear" w:color="auto" w:fill="D9E2F3"/>
          </w:tcPr>
          <w:p>
            <w:r/>
            <w:r>
              <w:rPr>
                <w:rFonts w:ascii="微软雅黑" w:hAnsi="微软雅黑" w:eastAsia="微软雅黑" w:cs="微软雅黑"/>
                <w:b/>
                <w:color w:val="1F3864"/>
                <w:sz w:val="18"/>
              </w:rPr>
              <w:t>项</w:t>
            </w:r>
          </w:p>
        </w:tc>
        <w:tc>
          <w:tcPr>
            <w:tcW w:type="dxa" w:w="6123"/>
            <w:shd w:val="clear" w:color="auto" w:fill="D9E2F3"/>
          </w:tcPr>
          <w:p>
            <w:r/>
            <w:r>
              <w:rPr>
                <w:rFonts w:ascii="微软雅黑" w:hAnsi="微软雅黑" w:eastAsia="微软雅黑" w:cs="微软雅黑"/>
                <w:b/>
                <w:color w:val="1F3864"/>
                <w:sz w:val="18"/>
              </w:rPr>
              <w:t>阻塞原因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npm 发布</w:t>
            </w:r>
          </w:p>
        </w:tc>
        <w:tc>
          <w:tcPr>
            <w:tcW w:type="dxa" w:w="6123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缺少组织与访问令牌；LICENSE 已确定为 Apache-2.0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真实数据集 Recall@K</w:t>
            </w:r>
          </w:p>
        </w:tc>
        <w:tc>
          <w:tcPr>
            <w:tcW w:type="dxa" w:w="6123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需要真实 embedding 语料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多机 / 冷缓存基准</w:t>
            </w:r>
          </w:p>
        </w:tc>
        <w:tc>
          <w:tcPr>
            <w:tcW w:type="dxa" w:w="6123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需要第二台机器与清缓存手段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真实 CDN / CORS 验收</w:t>
            </w:r>
          </w:p>
        </w:tc>
        <w:tc>
          <w:tcPr>
            <w:tcW w:type="dxa" w:w="6123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需要实际部署环境</w:t>
            </w:r>
          </w:p>
        </w:tc>
      </w:tr>
    </w:tbl>
    <w:p>
      <w:pPr>
        <w:pStyle w:val="Heading2"/>
      </w:pPr>
      <w:r>
        <w:t>6.2 设计未定或明确不做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28"/>
        <w:gridCol w:w="5329"/>
      </w:tblGrid>
      <w:tr>
        <w:trPr>
          <w:tblHeader/>
        </w:trPr>
        <w:tc>
          <w:tcPr>
            <w:tcW w:type="dxa" w:w="3628"/>
            <w:shd w:val="clear" w:color="auto" w:fill="D9E2F3"/>
          </w:tcPr>
          <w:p>
            <w:r/>
            <w:r>
              <w:rPr>
                <w:rFonts w:ascii="微软雅黑" w:hAnsi="微软雅黑" w:eastAsia="微软雅黑" w:cs="微软雅黑"/>
                <w:b/>
                <w:color w:val="1F3864"/>
                <w:sz w:val="18"/>
              </w:rPr>
              <w:t>项</w:t>
            </w:r>
          </w:p>
        </w:tc>
        <w:tc>
          <w:tcPr>
            <w:tcW w:type="dxa" w:w="5329"/>
            <w:shd w:val="clear" w:color="auto" w:fill="D9E2F3"/>
          </w:tcPr>
          <w:p>
            <w:r/>
            <w:r>
              <w:rPr>
                <w:rFonts w:ascii="微软雅黑" w:hAnsi="微软雅黑" w:eastAsia="微软雅黑" w:cs="微软雅黑"/>
                <w:b/>
                <w:color w:val="1F3864"/>
                <w:sz w:val="18"/>
              </w:rPr>
              <w:t>状态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ANN 过滤的完整性保证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只有显式后过滤，可能少于 topK，已在诊断中标注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同主版本内的索引格式变化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只按主版本判定，无法探测其内部变化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.wsql 压缩算法协商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目前只有 gzip；brotli 需要新版本号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JSON 等值过滤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需要规范化形式，当前明确拒绝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融合质量需要相关性标注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k 只做了稳定性测量，未回答哪个 k 排序更好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时间戳与嵌套列的源数据推断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转换工具只覆盖标量类型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中文分词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CJK 逐字，精度换可预测性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浏览器 SQL 参数类型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JSON 绑定；Date、二进制与超范围 bigint 明确拒绝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SQL 结果规模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maxRows 超限硬失败；sqlStream() 提供增量交付，db.sql() 仍一次性返回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浏览器大表与冷启动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只测了 Node 内的同一 WASM 构建（500k 行），浏览器内存与 34 MB 首载未测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COI / 多线程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已试不可用：parquet 扩展与共享内存 ABI 不兼容（ADR-063）</w:t>
            </w:r>
          </w:p>
        </w:tc>
      </w:tr>
    </w:tbl>
    <w:p>
      <w:pPr>
        <w:pStyle w:val="Heading1"/>
      </w:pPr>
      <w:r>
        <w:t>7. 关键决策</w:t>
      </w:r>
    </w:p>
    <w:p>
      <w:r>
        <w:rPr>
          <w:rFonts w:ascii="微软雅黑" w:hAnsi="微软雅黑" w:eastAsia="微软雅黑" w:cs="微软雅黑"/>
          <w:color w:val="595959"/>
          <w:sz w:val="20"/>
        </w:rPr>
        <w:t>完整 70 条记录见仓库 docs/DECISION_LOG.md；下表列出与外部读者最相关的决策。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6917"/>
      </w:tblGrid>
      <w:tr>
        <w:trPr>
          <w:tblHeader/>
        </w:trPr>
        <w:tc>
          <w:tcPr>
            <w:tcW w:type="dxa" w:w="2041"/>
            <w:shd w:val="clear" w:color="auto" w:fill="D9E2F3"/>
          </w:tcPr>
          <w:p>
            <w:r/>
            <w:r>
              <w:rPr>
                <w:rFonts w:ascii="微软雅黑" w:hAnsi="微软雅黑" w:eastAsia="微软雅黑" w:cs="微软雅黑"/>
                <w:b/>
                <w:color w:val="1F3864"/>
                <w:sz w:val="18"/>
              </w:rPr>
              <w:t>ADR</w:t>
            </w:r>
          </w:p>
        </w:tc>
        <w:tc>
          <w:tcPr>
            <w:tcW w:type="dxa" w:w="6917"/>
            <w:shd w:val="clear" w:color="auto" w:fill="D9E2F3"/>
          </w:tcPr>
          <w:p>
            <w:r/>
            <w:r>
              <w:rPr>
                <w:rFonts w:ascii="微软雅黑" w:hAnsi="微软雅黑" w:eastAsia="微软雅黑" w:cs="微软雅黑"/>
                <w:b/>
                <w:color w:val="1F3864"/>
                <w:sz w:val="18"/>
              </w:rPr>
              <w:t>决策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016</w:t>
            </w:r>
          </w:p>
        </w:tc>
        <w:tc>
          <w:tcPr>
            <w:tcW w:type="dxa" w:w="6917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Manifest V1 语义与约束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022</w:t>
            </w:r>
          </w:p>
        </w:tc>
        <w:tc>
          <w:tcPr>
            <w:tcW w:type="dxa" w:w="6917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精确优先，ANN 必须自报 exact: false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026</w:t>
            </w:r>
          </w:p>
        </w:tc>
        <w:tc>
          <w:tcPr>
            <w:tcW w:type="dxa" w:w="6917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基准装置是测量设备，不是性能承诺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028</w:t>
            </w:r>
          </w:p>
        </w:tc>
        <w:tc>
          <w:tcPr>
            <w:tcW w:type="dxa" w:w="6917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USearch 度量映射经实测校准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029</w:t>
            </w:r>
          </w:p>
        </w:tc>
        <w:tc>
          <w:tcPr>
            <w:tcW w:type="dxa" w:w="6917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索引参数进 Manifest，缺参数拒绝加载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030 / 043</w:t>
            </w:r>
          </w:p>
        </w:tc>
        <w:tc>
          <w:tcPr>
            <w:tcW w:type="dxa" w:w="6917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ANN 召回必须按分布报告（043 推翻 030 的「均匀最差」判断）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032 / 033</w:t>
            </w:r>
          </w:p>
        </w:tc>
        <w:tc>
          <w:tcPr>
            <w:tcW w:type="dxa" w:w="6917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全文索引格式、ID Map 与排序规则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035</w:t>
            </w:r>
          </w:p>
        </w:tc>
        <w:tc>
          <w:tcPr>
            <w:tcW w:type="dxa" w:w="6917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融合用 RRF，只用排名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036</w:t>
            </w:r>
          </w:p>
        </w:tc>
        <w:tc>
          <w:tcPr>
            <w:tcW w:type="dxa" w:w="6917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RAG 只做证据组装，不调用模型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037</w:t>
            </w:r>
          </w:p>
        </w:tc>
        <w:tc>
          <w:tcPr>
            <w:tcW w:type="dxa" w:w="6917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ANN 过滤只提供显式后过滤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039</w:t>
            </w:r>
          </w:p>
        </w:tc>
        <w:tc>
          <w:tcPr>
            <w:tcW w:type="dxa" w:w="6917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.wsql 不压缩、整文件入内存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040 / 044 / 045</w:t>
            </w:r>
          </w:p>
        </w:tc>
        <w:tc>
          <w:tcPr>
            <w:tcW w:type="dxa" w:w="6917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Apache-2.0 每包自带许可证；容器防穿越；不可信输入错误契约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057</w:t>
            </w:r>
          </w:p>
        </w:tc>
        <w:tc>
          <w:tcPr>
            <w:tcW w:type="dxa" w:w="6917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Builder 在构建时签名，发布链路少一步补签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065 / 066</w:t>
            </w:r>
          </w:p>
        </w:tc>
        <w:tc>
          <w:tcPr>
            <w:tcW w:type="dxa" w:w="6917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浏览器 SQL 用 DuckDB-Wasm、扩展同源自托管；066 用 tokenizer 支持只读 CTE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063 / 064</w:t>
            </w:r>
          </w:p>
        </w:tc>
        <w:tc>
          <w:tcPr>
            <w:tcW w:type="dxa" w:w="6917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COI 多线程因扩展不兼容不采用；取消只承诺立即停止等待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067</w:t>
            </w:r>
          </w:p>
        </w:tc>
        <w:tc>
          <w:tcPr>
            <w:tcW w:type="dxa" w:w="6917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物化预算分单表与整包两层，且在建库前检查</w:t>
            </w:r>
          </w:p>
        </w:tc>
      </w:tr>
    </w:tbl>
    <w:p>
      <w:pPr>
        <w:pStyle w:val="Heading1"/>
      </w:pPr>
      <w:r>
        <w:t>8. 发布就绪度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5896"/>
      </w:tblGrid>
      <w:tr>
        <w:trPr>
          <w:tblHeader/>
        </w:trPr>
        <w:tc>
          <w:tcPr>
            <w:tcW w:type="dxa" w:w="3061"/>
            <w:shd w:val="clear" w:color="auto" w:fill="D9E2F3"/>
          </w:tcPr>
          <w:p>
            <w:r/>
            <w:r>
              <w:rPr>
                <w:rFonts w:ascii="微软雅黑" w:hAnsi="微软雅黑" w:eastAsia="微软雅黑" w:cs="微软雅黑"/>
                <w:b/>
                <w:color w:val="1F3864"/>
                <w:sz w:val="18"/>
              </w:rPr>
              <w:t>检查项</w:t>
            </w:r>
          </w:p>
        </w:tc>
        <w:tc>
          <w:tcPr>
            <w:tcW w:type="dxa" w:w="5896"/>
            <w:shd w:val="clear" w:color="auto" w:fill="D9E2F3"/>
          </w:tcPr>
          <w:p>
            <w:r/>
            <w:r>
              <w:rPr>
                <w:rFonts w:ascii="微软雅黑" w:hAnsi="微软雅黑" w:eastAsia="微软雅黑" w:cs="微软雅黑"/>
                <w:b/>
                <w:color w:val="1F3864"/>
                <w:sz w:val="18"/>
              </w:rPr>
              <w:t>状态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测试 / 类型 / 构建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 325 测试，typecheck 通过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打包内容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 仅 dist/ + README + LICENSE，无 src/test 泄漏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依赖范围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 caret 且跟踪本地版本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许可证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 Apache-2.0（根 + 每包）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CI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✓ 双平台行为闸门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npm 组织与令牌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未完成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多机基准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 w:cs="微软雅黑"/>
                <w:sz w:val="18"/>
              </w:rPr>
              <w:t>未完成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EEF3FA"/>
          </w:tcPr>
          <w:p>
            <w:r/>
            <w:r>
              <w:rPr>
                <w:rFonts w:ascii="微软雅黑" w:hAnsi="微软雅黑" w:eastAsia="微软雅黑" w:cs="微软雅黑"/>
                <w:color w:val="595959"/>
                <w:sz w:val="20"/>
              </w:rPr>
              <w:t>结论：技术上可发布，行政上未就绪。</w:t>
            </w:r>
          </w:p>
        </w:tc>
      </w:tr>
    </w:tbl>
    <w:p>
      <w:pPr>
        <w:pStyle w:val="Heading1"/>
      </w:pPr>
      <w:r>
        <w:t>9. 建议的下一步</w:t>
      </w:r>
    </w:p>
    <w:p>
      <w:r>
        <w:rPr>
          <w:rFonts w:ascii="微软雅黑" w:hAnsi="微软雅黑" w:eastAsia="微软雅黑" w:cs="微软雅黑"/>
          <w:sz w:val="21"/>
        </w:rPr>
        <w:t>1. 配置 npm 令牌 → npm publish --dry-run 核对五个包 → 正式发布。</w:t>
      </w:r>
    </w:p>
    <w:p>
      <w:r>
        <w:rPr>
          <w:rFonts w:ascii="微软雅黑" w:hAnsi="微软雅黑" w:eastAsia="微软雅黑" w:cs="微软雅黑"/>
          <w:sz w:val="21"/>
        </w:rPr>
        <w:t>2. 在真实 embedding 数据上测 Recall@K，替换第 5.1 节的合成数字。</w:t>
      </w:r>
    </w:p>
    <w:p>
      <w:r>
        <w:rPr>
          <w:rFonts w:ascii="微软雅黑" w:hAnsi="微软雅黑" w:eastAsia="微软雅黑" w:cs="微软雅黑"/>
          <w:sz w:val="21"/>
        </w:rPr>
        <w:t>3. 补齐 SQL Adapter 的共享契约测试，覆盖 Node 与 DuckDB-Wasm 两个实现。</w:t>
      </w:r>
    </w:p>
    <w:p>
      <w:r>
        <w:rPr>
          <w:rFonts w:ascii="微软雅黑" w:hAnsi="微软雅黑" w:eastAsia="微软雅黑" w:cs="微软雅黑"/>
          <w:sz w:val="21"/>
        </w:rPr>
        <w:t>4. 为 db.sql 增加行数上限或流式返回，避免大结果把浏览器打爆。</w:t>
      </w:r>
    </w:p>
    <w:p>
      <w:r>
        <w:rPr>
          <w:rFonts w:ascii="微软雅黑" w:hAnsi="微软雅黑" w:eastAsia="微软雅黑" w:cs="微软雅黑"/>
          <w:sz w:val="21"/>
        </w:rPr>
        <w:t>5. 第二台机器复现基准，并在真实 CDN 上验收 CORS / Range / 缓存。</w:t>
      </w:r>
    </w:p>
    <w:p>
      <w:r>
        <w:rPr>
          <w:rFonts w:ascii="微软雅黑" w:hAnsi="微软雅黑" w:eastAsia="微软雅黑" w:cs="微软雅黑"/>
          <w:sz w:val="21"/>
        </w:rPr>
        <w:t>6. 视需要再做压缩算法协商或源数据的时间戳推断。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color w:val="595959"/>
        <w:sz w:val="18"/>
      </w:rPr>
      <w:t xml:space="preserve">WeiSQL AI · 项目状态报告 · 第 </w:t>
    </w:r>
    <w:r>
      <w:rPr>
        <w:rFonts w:ascii="微软雅黑" w:hAnsi="微软雅黑" w:eastAsia="微软雅黑" w:cs="微软雅黑"/>
        <w:color w:val="595959"/>
        <w:sz w:val="18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 w:cs="微软雅黑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