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BF5" w:rsidRDefault="00723523" w:rsidP="00BE6BF5">
      <w:pPr>
        <w:pStyle w:val="NoSpacing"/>
        <w:jc w:val="center"/>
        <w:rPr>
          <w:rStyle w:val="Strong"/>
          <w:b/>
        </w:rPr>
      </w:pPr>
      <w:r>
        <w:rPr>
          <w:rStyle w:val="Strong"/>
          <w:b/>
        </w:rPr>
        <w:t>The</w:t>
      </w:r>
      <w:r w:rsidR="00EA0A9B">
        <w:rPr>
          <w:rStyle w:val="Strong"/>
          <w:b/>
        </w:rPr>
        <w:t xml:space="preserve"> Clinical Implications of Integrating</w:t>
      </w:r>
      <w:r>
        <w:rPr>
          <w:rStyle w:val="Strong"/>
          <w:b/>
        </w:rPr>
        <w:t xml:space="preserve"> Additional Prognostic Factors </w:t>
      </w:r>
      <w:r w:rsidR="00EA0A9B">
        <w:rPr>
          <w:rStyle w:val="Strong"/>
          <w:b/>
        </w:rPr>
        <w:t>in</w:t>
      </w:r>
      <w:r>
        <w:rPr>
          <w:rStyle w:val="Strong"/>
          <w:b/>
        </w:rPr>
        <w:t>to the TNM</w:t>
      </w:r>
    </w:p>
    <w:p w:rsidR="00BE6BF5" w:rsidRDefault="00BE6BF5" w:rsidP="00BE6BF5">
      <w:pPr>
        <w:pStyle w:val="NoSpacing"/>
        <w:jc w:val="center"/>
        <w:rPr>
          <w:rStyle w:val="Strong"/>
          <w:b/>
        </w:rPr>
      </w:pPr>
    </w:p>
    <w:p w:rsidR="00BE6BF5" w:rsidRDefault="00BE6BF5" w:rsidP="00A073FE">
      <w:pPr>
        <w:pStyle w:val="NoSpacing"/>
        <w:rPr>
          <w:rStyle w:val="Strong"/>
          <w:b/>
        </w:rPr>
      </w:pPr>
    </w:p>
    <w:p w:rsidR="00BE6BF5" w:rsidRDefault="00BE6BF5" w:rsidP="00A073FE">
      <w:pPr>
        <w:pStyle w:val="NoSpacing"/>
        <w:rPr>
          <w:rStyle w:val="Strong"/>
          <w:b/>
        </w:rPr>
      </w:pPr>
    </w:p>
    <w:p w:rsidR="005922C4" w:rsidRDefault="00937D4D" w:rsidP="00A073FE">
      <w:pPr>
        <w:pStyle w:val="NoSpacing"/>
        <w:rPr>
          <w:rStyle w:val="Emphasis"/>
        </w:rPr>
      </w:pPr>
      <w:r>
        <w:rPr>
          <w:rStyle w:val="Emphasis"/>
        </w:rPr>
        <w:t>By:</w:t>
      </w:r>
    </w:p>
    <w:p w:rsidR="00937D4D" w:rsidRDefault="00937D4D" w:rsidP="00A073FE">
      <w:pPr>
        <w:pStyle w:val="NoSpacing"/>
        <w:rPr>
          <w:rStyle w:val="Emphasis"/>
        </w:rPr>
      </w:pPr>
    </w:p>
    <w:p w:rsidR="00937D4D" w:rsidRDefault="00937D4D" w:rsidP="00A073FE">
      <w:pPr>
        <w:pStyle w:val="NoSpacing"/>
        <w:rPr>
          <w:rStyle w:val="Emphasis"/>
        </w:rPr>
      </w:pPr>
    </w:p>
    <w:p w:rsidR="00856E84" w:rsidRPr="00CB1456" w:rsidRDefault="00856E84" w:rsidP="00A073FE">
      <w:pPr>
        <w:pStyle w:val="NoSpacing"/>
        <w:rPr>
          <w:rStyle w:val="Emphasis"/>
        </w:rPr>
      </w:pPr>
      <w:r w:rsidRPr="00CB1456">
        <w:rPr>
          <w:rStyle w:val="Emphasis"/>
        </w:rPr>
        <w:t>Donald Earl. Henson</w:t>
      </w:r>
    </w:p>
    <w:p w:rsidR="00856E84" w:rsidRPr="00CB1456" w:rsidRDefault="00856E84" w:rsidP="00A073FE">
      <w:pPr>
        <w:pStyle w:val="NoSpacing"/>
        <w:rPr>
          <w:rStyle w:val="Emphasis"/>
        </w:rPr>
      </w:pPr>
      <w:r w:rsidRPr="00CB1456">
        <w:rPr>
          <w:rStyle w:val="Emphasis"/>
        </w:rPr>
        <w:t>Division of Cancer Control and Epidemiology</w:t>
      </w:r>
    </w:p>
    <w:p w:rsidR="00856E84" w:rsidRPr="00CB1456" w:rsidRDefault="00856E84" w:rsidP="00A073FE">
      <w:pPr>
        <w:pStyle w:val="NoSpacing"/>
        <w:rPr>
          <w:rStyle w:val="Emphasis"/>
        </w:rPr>
      </w:pPr>
      <w:r w:rsidRPr="00CB1456">
        <w:rPr>
          <w:rStyle w:val="Emphasis"/>
        </w:rPr>
        <w:t>The George Washington University Cancer Institute</w:t>
      </w:r>
    </w:p>
    <w:p w:rsidR="00856E84" w:rsidRDefault="00856E84" w:rsidP="00A073FE">
      <w:pPr>
        <w:pStyle w:val="NoSpacing"/>
        <w:rPr>
          <w:rStyle w:val="Emphasis"/>
        </w:rPr>
      </w:pPr>
      <w:smartTag w:uri="urn:schemas-microsoft-com:office:smarttags" w:element="place">
        <w:smartTag w:uri="urn:schemas-microsoft-com:office:smarttags" w:element="City">
          <w:r w:rsidRPr="00CB1456">
            <w:rPr>
              <w:rStyle w:val="Emphasis"/>
            </w:rPr>
            <w:t>Washington</w:t>
          </w:r>
        </w:smartTag>
        <w:r w:rsidRPr="00CB1456">
          <w:rPr>
            <w:rStyle w:val="Emphasis"/>
          </w:rPr>
          <w:t xml:space="preserve">, </w:t>
        </w:r>
        <w:smartTag w:uri="urn:schemas-microsoft-com:office:smarttags" w:element="State">
          <w:r w:rsidRPr="00CB1456">
            <w:rPr>
              <w:rStyle w:val="Emphasis"/>
            </w:rPr>
            <w:t>DC</w:t>
          </w:r>
        </w:smartTag>
        <w:r w:rsidRPr="00CB1456">
          <w:rPr>
            <w:rStyle w:val="Emphasis"/>
          </w:rPr>
          <w:t xml:space="preserve"> </w:t>
        </w:r>
        <w:smartTag w:uri="urn:schemas-microsoft-com:office:smarttags" w:element="PostalCode">
          <w:r w:rsidRPr="00CB1456">
            <w:rPr>
              <w:rStyle w:val="Emphasis"/>
            </w:rPr>
            <w:t>20037</w:t>
          </w:r>
        </w:smartTag>
      </w:smartTag>
    </w:p>
    <w:p w:rsidR="00856E84" w:rsidRDefault="004E4B0A" w:rsidP="00A073FE">
      <w:pPr>
        <w:pStyle w:val="NoSpacing"/>
        <w:rPr>
          <w:rStyle w:val="Emphasis"/>
        </w:rPr>
      </w:pPr>
      <w:hyperlink r:id="rId9" w:history="1">
        <w:r w:rsidR="00856E84" w:rsidRPr="00DD623F">
          <w:rPr>
            <w:rStyle w:val="Hyperlink"/>
            <w:color w:val="auto"/>
          </w:rPr>
          <w:t>henson@gwu.edu</w:t>
        </w:r>
      </w:hyperlink>
    </w:p>
    <w:p w:rsidR="00937D4D" w:rsidRPr="00D82F20" w:rsidRDefault="00937D4D" w:rsidP="00A073FE">
      <w:pPr>
        <w:pStyle w:val="NoSpacing"/>
        <w:rPr>
          <w:rStyle w:val="Emphasis"/>
        </w:rPr>
      </w:pPr>
    </w:p>
    <w:p w:rsidR="00856E84" w:rsidRPr="00A40E1E" w:rsidRDefault="00856E84" w:rsidP="002A66B6">
      <w:pPr>
        <w:pStyle w:val="NoSpacing"/>
        <w:rPr>
          <w:rStyle w:val="Emphasis"/>
        </w:rPr>
      </w:pPr>
      <w:smartTag w:uri="urn:schemas-microsoft-com:office:smarttags" w:element="City">
        <w:smartTag w:uri="urn:schemas-microsoft-com:office:smarttags" w:element="place">
          <w:r w:rsidRPr="00A40E1E">
            <w:rPr>
              <w:rStyle w:val="Emphasis"/>
            </w:rPr>
            <w:t>Arnold</w:t>
          </w:r>
        </w:smartTag>
      </w:smartTag>
      <w:r w:rsidRPr="00A40E1E">
        <w:rPr>
          <w:rStyle w:val="Emphasis"/>
        </w:rPr>
        <w:t xml:space="preserve"> M. Schwartz</w:t>
      </w:r>
    </w:p>
    <w:p w:rsidR="00856E84" w:rsidRPr="00A40E1E" w:rsidRDefault="00856E84" w:rsidP="002A66B6">
      <w:pPr>
        <w:pStyle w:val="NoSpacing"/>
        <w:rPr>
          <w:rStyle w:val="Emphasis"/>
        </w:rPr>
      </w:pPr>
      <w:r w:rsidRPr="00A40E1E">
        <w:rPr>
          <w:rStyle w:val="Emphasis"/>
        </w:rPr>
        <w:t>Department of Pathology</w:t>
      </w:r>
      <w:r w:rsidR="004F627F">
        <w:rPr>
          <w:rStyle w:val="Emphasis"/>
        </w:rPr>
        <w:t xml:space="preserve"> and Surgery</w:t>
      </w:r>
    </w:p>
    <w:p w:rsidR="00856E84" w:rsidRPr="00A40E1E" w:rsidRDefault="00856E84" w:rsidP="002A66B6">
      <w:pPr>
        <w:pStyle w:val="NoSpacing"/>
        <w:rPr>
          <w:rStyle w:val="Emphasis"/>
        </w:rPr>
      </w:pPr>
      <w:r w:rsidRPr="00A40E1E">
        <w:rPr>
          <w:rStyle w:val="Emphasis"/>
        </w:rPr>
        <w:t xml:space="preserve">The </w:t>
      </w:r>
      <w:smartTag w:uri="urn:schemas-microsoft-com:office:smarttags" w:element="State">
        <w:smartTag w:uri="urn:schemas-microsoft-com:office:smarttags" w:element="State">
          <w:r w:rsidRPr="00A40E1E">
            <w:rPr>
              <w:rStyle w:val="Emphasis"/>
            </w:rPr>
            <w:t>George</w:t>
          </w:r>
        </w:smartTag>
        <w:r w:rsidRPr="00A40E1E">
          <w:rPr>
            <w:rStyle w:val="Emphasis"/>
          </w:rPr>
          <w:t xml:space="preserve"> </w:t>
        </w:r>
        <w:smartTag w:uri="urn:schemas-microsoft-com:office:smarttags" w:element="State">
          <w:r w:rsidRPr="00A40E1E">
            <w:rPr>
              <w:rStyle w:val="Emphasis"/>
            </w:rPr>
            <w:t>Washington</w:t>
          </w:r>
        </w:smartTag>
        <w:r w:rsidRPr="00A40E1E">
          <w:rPr>
            <w:rStyle w:val="Emphasis"/>
          </w:rPr>
          <w:t xml:space="preserve"> </w:t>
        </w:r>
        <w:smartTag w:uri="urn:schemas-microsoft-com:office:smarttags" w:element="State">
          <w:r w:rsidRPr="00A40E1E">
            <w:rPr>
              <w:rStyle w:val="Emphasis"/>
            </w:rPr>
            <w:t>University</w:t>
          </w:r>
        </w:smartTag>
        <w:r w:rsidRPr="00A40E1E">
          <w:rPr>
            <w:rStyle w:val="Emphasis"/>
          </w:rPr>
          <w:t xml:space="preserve"> </w:t>
        </w:r>
        <w:smartTag w:uri="urn:schemas-microsoft-com:office:smarttags" w:element="State">
          <w:r w:rsidRPr="00A40E1E">
            <w:rPr>
              <w:rStyle w:val="Emphasis"/>
            </w:rPr>
            <w:t>Medical</w:t>
          </w:r>
        </w:smartTag>
        <w:r w:rsidRPr="00A40E1E">
          <w:rPr>
            <w:rStyle w:val="Emphasis"/>
          </w:rPr>
          <w:t xml:space="preserve"> </w:t>
        </w:r>
        <w:smartTag w:uri="urn:schemas-microsoft-com:office:smarttags" w:element="State">
          <w:r w:rsidRPr="00A40E1E">
            <w:rPr>
              <w:rStyle w:val="Emphasis"/>
            </w:rPr>
            <w:t>Center</w:t>
          </w:r>
        </w:smartTag>
      </w:smartTag>
    </w:p>
    <w:p w:rsidR="00856E84" w:rsidRPr="00A40E1E" w:rsidRDefault="00856E84" w:rsidP="002A66B6">
      <w:pPr>
        <w:pStyle w:val="NoSpacing"/>
        <w:rPr>
          <w:rStyle w:val="Emphasis"/>
        </w:rPr>
      </w:pPr>
      <w:smartTag w:uri="urn:schemas-microsoft-com:office:smarttags" w:element="State">
        <w:smartTag w:uri="urn:schemas-microsoft-com:office:smarttags" w:element="State">
          <w:r w:rsidRPr="00A40E1E">
            <w:rPr>
              <w:rStyle w:val="Emphasis"/>
            </w:rPr>
            <w:t>Washington</w:t>
          </w:r>
        </w:smartTag>
        <w:r w:rsidRPr="00A40E1E">
          <w:rPr>
            <w:rStyle w:val="Emphasis"/>
          </w:rPr>
          <w:t xml:space="preserve">, </w:t>
        </w:r>
        <w:smartTag w:uri="urn:schemas-microsoft-com:office:smarttags" w:element="State">
          <w:r w:rsidRPr="00A40E1E">
            <w:rPr>
              <w:rStyle w:val="Emphasis"/>
            </w:rPr>
            <w:t>DC</w:t>
          </w:r>
        </w:smartTag>
        <w:r w:rsidRPr="00A40E1E">
          <w:rPr>
            <w:rStyle w:val="Emphasis"/>
          </w:rPr>
          <w:t xml:space="preserve"> </w:t>
        </w:r>
        <w:smartTag w:uri="urn:schemas-microsoft-com:office:smarttags" w:element="State">
          <w:r w:rsidRPr="00A40E1E">
            <w:rPr>
              <w:rStyle w:val="Emphasis"/>
            </w:rPr>
            <w:t>20037</w:t>
          </w:r>
        </w:smartTag>
      </w:smartTag>
    </w:p>
    <w:p w:rsidR="00856E84" w:rsidRPr="00D82F20" w:rsidRDefault="00856E84" w:rsidP="002A66B6">
      <w:pPr>
        <w:pStyle w:val="NoSpacing"/>
        <w:rPr>
          <w:rStyle w:val="Emphasis"/>
        </w:rPr>
      </w:pPr>
      <w:r w:rsidRPr="00D82F20">
        <w:rPr>
          <w:rStyle w:val="Emphasis"/>
        </w:rPr>
        <w:t>aschwartz@mfa.gwu.edu</w:t>
      </w:r>
    </w:p>
    <w:p w:rsidR="00937D4D" w:rsidRDefault="00937D4D" w:rsidP="00A073FE">
      <w:pPr>
        <w:pStyle w:val="NoSpacing"/>
        <w:rPr>
          <w:rStyle w:val="Emphasis"/>
        </w:rPr>
      </w:pPr>
    </w:p>
    <w:p w:rsidR="00856E84" w:rsidRPr="00CB1456" w:rsidRDefault="00856E84" w:rsidP="00A073FE">
      <w:pPr>
        <w:pStyle w:val="NoSpacing"/>
        <w:rPr>
          <w:rStyle w:val="Emphasis"/>
        </w:rPr>
      </w:pPr>
      <w:proofErr w:type="spellStart"/>
      <w:r w:rsidRPr="00CB1456">
        <w:rPr>
          <w:rStyle w:val="Emphasis"/>
        </w:rPr>
        <w:t>Dechang</w:t>
      </w:r>
      <w:proofErr w:type="spellEnd"/>
      <w:r w:rsidRPr="00CB1456">
        <w:rPr>
          <w:rStyle w:val="Emphasis"/>
        </w:rPr>
        <w:t xml:space="preserve"> Chen</w:t>
      </w:r>
    </w:p>
    <w:p w:rsidR="00856E84" w:rsidRPr="00CB1456" w:rsidRDefault="00856E84" w:rsidP="00A073FE">
      <w:pPr>
        <w:pStyle w:val="NoSpacing"/>
        <w:rPr>
          <w:rStyle w:val="Emphasis"/>
        </w:rPr>
      </w:pPr>
      <w:r w:rsidRPr="00CB1456">
        <w:rPr>
          <w:rStyle w:val="Emphasis"/>
        </w:rPr>
        <w:t>Division of Epidemiology and Biostatistics</w:t>
      </w:r>
    </w:p>
    <w:p w:rsidR="00856E84" w:rsidRPr="00CB1456" w:rsidRDefault="00856E84" w:rsidP="00A073FE">
      <w:pPr>
        <w:pStyle w:val="NoSpacing"/>
        <w:rPr>
          <w:rStyle w:val="Emphasis"/>
        </w:rPr>
      </w:pPr>
      <w:r w:rsidRPr="00CB1456">
        <w:rPr>
          <w:rStyle w:val="Emphasis"/>
        </w:rPr>
        <w:t xml:space="preserve">Uniformed </w:t>
      </w:r>
      <w:smartTag w:uri="urn:schemas-microsoft-com:office:smarttags" w:element="State">
        <w:smartTag w:uri="urn:schemas-microsoft-com:office:smarttags" w:element="State">
          <w:r w:rsidRPr="00CB1456">
            <w:rPr>
              <w:rStyle w:val="Emphasis"/>
            </w:rPr>
            <w:t>Services</w:t>
          </w:r>
        </w:smartTag>
        <w:r w:rsidRPr="00CB1456">
          <w:rPr>
            <w:rStyle w:val="Emphasis"/>
          </w:rPr>
          <w:t xml:space="preserve"> </w:t>
        </w:r>
        <w:smartTag w:uri="urn:schemas-microsoft-com:office:smarttags" w:element="State">
          <w:r w:rsidRPr="00CB1456">
            <w:rPr>
              <w:rStyle w:val="Emphasis"/>
            </w:rPr>
            <w:t>University</w:t>
          </w:r>
        </w:smartTag>
      </w:smartTag>
      <w:r w:rsidRPr="00CB1456">
        <w:rPr>
          <w:rStyle w:val="Emphasis"/>
        </w:rPr>
        <w:t xml:space="preserve"> of the Health Sciences</w:t>
      </w:r>
    </w:p>
    <w:p w:rsidR="00856E84" w:rsidRDefault="00856E84" w:rsidP="00A073FE">
      <w:pPr>
        <w:pStyle w:val="NoSpacing"/>
        <w:rPr>
          <w:rStyle w:val="Emphasis"/>
        </w:rPr>
      </w:pPr>
      <w:smartTag w:uri="urn:schemas-microsoft-com:office:smarttags" w:element="State">
        <w:smartTag w:uri="urn:schemas-microsoft-com:office:smarttags" w:element="State">
          <w:r w:rsidRPr="00CB1456">
            <w:rPr>
              <w:rStyle w:val="Emphasis"/>
            </w:rPr>
            <w:t>Bethesda</w:t>
          </w:r>
        </w:smartTag>
        <w:r w:rsidRPr="00CB1456">
          <w:rPr>
            <w:rStyle w:val="Emphasis"/>
          </w:rPr>
          <w:t xml:space="preserve">, </w:t>
        </w:r>
        <w:smartTag w:uri="urn:schemas-microsoft-com:office:smarttags" w:element="State">
          <w:r w:rsidRPr="00CB1456">
            <w:rPr>
              <w:rStyle w:val="Emphasis"/>
            </w:rPr>
            <w:t>MD</w:t>
          </w:r>
        </w:smartTag>
        <w:r w:rsidRPr="00CB1456">
          <w:rPr>
            <w:rStyle w:val="Emphasis"/>
          </w:rPr>
          <w:t xml:space="preserve"> </w:t>
        </w:r>
        <w:smartTag w:uri="urn:schemas-microsoft-com:office:smarttags" w:element="State">
          <w:r w:rsidRPr="00CB1456">
            <w:rPr>
              <w:rStyle w:val="Emphasis"/>
            </w:rPr>
            <w:t>20814</w:t>
          </w:r>
        </w:smartTag>
      </w:smartTag>
    </w:p>
    <w:p w:rsidR="00856E84" w:rsidRPr="00937D4D" w:rsidRDefault="004E4B0A" w:rsidP="00A073FE">
      <w:pPr>
        <w:pStyle w:val="NoSpacing"/>
        <w:rPr>
          <w:rStyle w:val="Emphasis"/>
        </w:rPr>
      </w:pPr>
      <w:hyperlink r:id="rId10" w:history="1">
        <w:r w:rsidR="00856E84" w:rsidRPr="00937D4D">
          <w:rPr>
            <w:rStyle w:val="Hyperlink"/>
            <w:color w:val="auto"/>
          </w:rPr>
          <w:t>dechang.chen@usuhs.edu</w:t>
        </w:r>
      </w:hyperlink>
    </w:p>
    <w:p w:rsidR="00937D4D" w:rsidRPr="00CB1456" w:rsidRDefault="00937D4D" w:rsidP="00A073FE">
      <w:pPr>
        <w:pStyle w:val="NoSpacing"/>
        <w:rPr>
          <w:rStyle w:val="Emphasis"/>
        </w:rPr>
      </w:pPr>
    </w:p>
    <w:p w:rsidR="00F61DE1" w:rsidRPr="00F61DE1" w:rsidRDefault="00F61DE1" w:rsidP="00F61DE1">
      <w:pPr>
        <w:spacing w:line="240" w:lineRule="auto"/>
        <w:ind w:firstLine="0"/>
      </w:pPr>
      <w:proofErr w:type="spellStart"/>
      <w:r w:rsidRPr="00F61DE1">
        <w:t>Dengyuan</w:t>
      </w:r>
      <w:proofErr w:type="spellEnd"/>
      <w:r w:rsidRPr="00F61DE1">
        <w:t xml:space="preserve"> Wu</w:t>
      </w:r>
    </w:p>
    <w:p w:rsidR="00F61DE1" w:rsidRDefault="00F61DE1" w:rsidP="00F61DE1">
      <w:pPr>
        <w:spacing w:line="240" w:lineRule="auto"/>
        <w:ind w:firstLine="0"/>
      </w:pPr>
      <w:r w:rsidRPr="00F61DE1">
        <w:t>Department of Computer Science</w:t>
      </w:r>
    </w:p>
    <w:p w:rsidR="005A7636" w:rsidRPr="00F61DE1" w:rsidRDefault="005A7636" w:rsidP="00F61DE1">
      <w:pPr>
        <w:spacing w:line="240" w:lineRule="auto"/>
        <w:ind w:firstLine="0"/>
      </w:pPr>
      <w:r>
        <w:t>School of Engineering</w:t>
      </w:r>
    </w:p>
    <w:p w:rsidR="00F61DE1" w:rsidRPr="00F61DE1" w:rsidRDefault="00F61DE1" w:rsidP="00F61DE1">
      <w:pPr>
        <w:spacing w:line="240" w:lineRule="auto"/>
        <w:ind w:firstLine="0"/>
      </w:pPr>
      <w:r w:rsidRPr="00F61DE1">
        <w:t xml:space="preserve">The George Washington University </w:t>
      </w:r>
    </w:p>
    <w:p w:rsidR="00F61DE1" w:rsidRPr="00F61DE1" w:rsidRDefault="00F61DE1" w:rsidP="00F61DE1">
      <w:pPr>
        <w:spacing w:line="240" w:lineRule="auto"/>
        <w:ind w:firstLine="0"/>
      </w:pPr>
      <w:r w:rsidRPr="00F61DE1">
        <w:t>Washington, DC 20052</w:t>
      </w:r>
    </w:p>
    <w:p w:rsidR="00F61DE1" w:rsidRPr="00F61DE1" w:rsidRDefault="00F61DE1" w:rsidP="00F61DE1">
      <w:pPr>
        <w:spacing w:line="240" w:lineRule="auto"/>
        <w:ind w:firstLine="0"/>
      </w:pPr>
      <w:r w:rsidRPr="00F61DE1">
        <w:t>andrewwu@gwmail.gwu.edu</w:t>
      </w:r>
    </w:p>
    <w:p w:rsidR="00F61DE1" w:rsidRPr="00F61DE1" w:rsidRDefault="00F61DE1" w:rsidP="00F61DE1">
      <w:pPr>
        <w:spacing w:line="240" w:lineRule="auto"/>
        <w:ind w:firstLine="0"/>
      </w:pPr>
    </w:p>
    <w:p w:rsidR="00F61DE1" w:rsidRPr="00F61DE1" w:rsidRDefault="00F61DE1" w:rsidP="00F61DE1">
      <w:pPr>
        <w:spacing w:line="240" w:lineRule="auto"/>
        <w:ind w:firstLine="0"/>
      </w:pPr>
    </w:p>
    <w:p w:rsidR="00856E84" w:rsidRDefault="00856E84" w:rsidP="00A073FE">
      <w:pPr>
        <w:pStyle w:val="NoSpacing"/>
        <w:rPr>
          <w:rStyle w:val="Emphasis"/>
        </w:rPr>
      </w:pPr>
    </w:p>
    <w:p w:rsidR="00856E84" w:rsidRPr="002B1427" w:rsidRDefault="00856E84" w:rsidP="002B1427">
      <w:pPr>
        <w:pStyle w:val="NoSpacing"/>
        <w:rPr>
          <w:rStyle w:val="Emphasis"/>
          <w:u w:val="single"/>
        </w:rPr>
      </w:pPr>
      <w:r w:rsidRPr="008A3ECD">
        <w:rPr>
          <w:rStyle w:val="Emphasis"/>
          <w:u w:val="single"/>
        </w:rPr>
        <w:t>CORRESPONDING AUTHOR</w:t>
      </w:r>
    </w:p>
    <w:p w:rsidR="00856E84" w:rsidRDefault="00856E84" w:rsidP="00A073FE">
      <w:pPr>
        <w:pStyle w:val="NoSpacing"/>
        <w:rPr>
          <w:rStyle w:val="Emphasis"/>
        </w:rPr>
      </w:pPr>
      <w:r w:rsidRPr="0091577A">
        <w:rPr>
          <w:rStyle w:val="Emphasis"/>
        </w:rPr>
        <w:t>Donald E. Henson, M.D.</w:t>
      </w:r>
    </w:p>
    <w:p w:rsidR="00856E84" w:rsidRDefault="00856E84" w:rsidP="00A073FE">
      <w:pPr>
        <w:pStyle w:val="NoSpacing"/>
        <w:rPr>
          <w:rStyle w:val="Emphasis"/>
        </w:rPr>
      </w:pPr>
      <w:r w:rsidRPr="0091577A">
        <w:rPr>
          <w:rStyle w:val="Emphasis"/>
        </w:rPr>
        <w:t>The George Washington University Cancer Institute</w:t>
      </w:r>
    </w:p>
    <w:p w:rsidR="00856E84" w:rsidRDefault="00856E84" w:rsidP="00A073FE">
      <w:pPr>
        <w:pStyle w:val="NoSpacing"/>
        <w:rPr>
          <w:rStyle w:val="Emphasis"/>
        </w:rPr>
      </w:pPr>
      <w:r>
        <w:rPr>
          <w:rStyle w:val="Emphasis"/>
        </w:rPr>
        <w:t>2030 M Street, NW, Room 4064</w:t>
      </w:r>
    </w:p>
    <w:p w:rsidR="00856E84" w:rsidRDefault="00856E84" w:rsidP="00A073FE">
      <w:pPr>
        <w:pStyle w:val="NoSpacing"/>
        <w:rPr>
          <w:rStyle w:val="Emphasis"/>
        </w:rPr>
      </w:pPr>
      <w:smartTag w:uri="urn:schemas-microsoft-com:office:smarttags" w:element="State">
        <w:smartTag w:uri="urn:schemas-microsoft-com:office:smarttags" w:element="State">
          <w:r>
            <w:rPr>
              <w:rStyle w:val="Emphasis"/>
            </w:rPr>
            <w:t>Washington</w:t>
          </w:r>
        </w:smartTag>
        <w:r>
          <w:rPr>
            <w:rStyle w:val="Emphasis"/>
          </w:rPr>
          <w:t xml:space="preserve">, </w:t>
        </w:r>
        <w:smartTag w:uri="urn:schemas-microsoft-com:office:smarttags" w:element="State">
          <w:r>
            <w:rPr>
              <w:rStyle w:val="Emphasis"/>
            </w:rPr>
            <w:t>DC</w:t>
          </w:r>
        </w:smartTag>
        <w:r>
          <w:rPr>
            <w:rStyle w:val="Emphasis"/>
          </w:rPr>
          <w:t xml:space="preserve"> </w:t>
        </w:r>
        <w:smartTag w:uri="urn:schemas-microsoft-com:office:smarttags" w:element="State">
          <w:r>
            <w:rPr>
              <w:rStyle w:val="Emphasis"/>
            </w:rPr>
            <w:t>20036</w:t>
          </w:r>
        </w:smartTag>
      </w:smartTag>
    </w:p>
    <w:p w:rsidR="00856E84" w:rsidRDefault="00856E84" w:rsidP="00A073FE">
      <w:pPr>
        <w:pStyle w:val="NoSpacing"/>
        <w:rPr>
          <w:rStyle w:val="Emphasis"/>
        </w:rPr>
      </w:pPr>
      <w:r w:rsidRPr="0091577A">
        <w:rPr>
          <w:rStyle w:val="Emphasis"/>
        </w:rPr>
        <w:t>Telephone-202-994-1966</w:t>
      </w:r>
    </w:p>
    <w:p w:rsidR="00856E84" w:rsidRDefault="00856E84" w:rsidP="00A073FE">
      <w:pPr>
        <w:pStyle w:val="NoSpacing"/>
        <w:rPr>
          <w:rStyle w:val="Emphasis"/>
        </w:rPr>
      </w:pPr>
      <w:r>
        <w:rPr>
          <w:rStyle w:val="Emphasis"/>
        </w:rPr>
        <w:t>FAX-202-994-1714</w:t>
      </w:r>
    </w:p>
    <w:p w:rsidR="00856E84" w:rsidRDefault="00856E84" w:rsidP="00A073FE">
      <w:pPr>
        <w:pStyle w:val="NoSpacing"/>
      </w:pPr>
      <w:r w:rsidRPr="0091577A">
        <w:rPr>
          <w:rStyle w:val="Emphasis"/>
        </w:rPr>
        <w:t>Email-</w:t>
      </w:r>
      <w:r>
        <w:rPr>
          <w:rStyle w:val="Emphasis"/>
        </w:rPr>
        <w:t>henson@gwu.edu</w:t>
      </w:r>
    </w:p>
    <w:p w:rsidR="00856E84" w:rsidRDefault="00856E84" w:rsidP="00A073FE">
      <w:pPr>
        <w:pStyle w:val="NoSpacing"/>
      </w:pPr>
    </w:p>
    <w:p w:rsidR="00856E84" w:rsidRDefault="00856E84" w:rsidP="00A073FE">
      <w:pPr>
        <w:pStyle w:val="NoSpacing"/>
      </w:pPr>
    </w:p>
    <w:p w:rsidR="00856E84" w:rsidRDefault="00856E84" w:rsidP="00A073FE">
      <w:pPr>
        <w:pStyle w:val="NoSpacing"/>
      </w:pPr>
    </w:p>
    <w:p w:rsidR="00937D4D" w:rsidRDefault="00937D4D" w:rsidP="00A073FE">
      <w:pPr>
        <w:pStyle w:val="NoSpacing"/>
      </w:pPr>
    </w:p>
    <w:p w:rsidR="00937D4D" w:rsidRDefault="00937D4D" w:rsidP="00A073FE">
      <w:pPr>
        <w:pStyle w:val="NoSpacing"/>
      </w:pPr>
    </w:p>
    <w:p w:rsidR="00937D4D" w:rsidRDefault="00937D4D" w:rsidP="00A073FE">
      <w:pPr>
        <w:pStyle w:val="NoSpacing"/>
      </w:pPr>
    </w:p>
    <w:p w:rsidR="00856E84" w:rsidRPr="00720329" w:rsidRDefault="00937D4D" w:rsidP="00A073FE">
      <w:pPr>
        <w:pStyle w:val="NoSpacing"/>
      </w:pPr>
      <w:r>
        <w:t xml:space="preserve">WORD </w:t>
      </w:r>
      <w:r w:rsidR="00856E84" w:rsidRPr="00720329">
        <w:t>COUNTS:</w:t>
      </w:r>
    </w:p>
    <w:p w:rsidR="00856E84" w:rsidRDefault="00856E84" w:rsidP="00E13C60">
      <w:pPr>
        <w:pStyle w:val="NoSpacing"/>
      </w:pPr>
      <w:r>
        <w:t xml:space="preserve">Abstract= </w:t>
      </w:r>
      <w:r w:rsidR="002B1427">
        <w:t xml:space="preserve"> 144</w:t>
      </w:r>
    </w:p>
    <w:p w:rsidR="00856E84" w:rsidRDefault="00856E84" w:rsidP="00E13C60">
      <w:pPr>
        <w:pStyle w:val="NoSpacing"/>
      </w:pPr>
      <w:r>
        <w:t xml:space="preserve">Main Text= </w:t>
      </w:r>
      <w:r w:rsidR="00F35846">
        <w:t>1344</w:t>
      </w:r>
    </w:p>
    <w:p w:rsidR="00856E84" w:rsidRDefault="00856E84" w:rsidP="00A073FE">
      <w:pPr>
        <w:pStyle w:val="NoSpacing"/>
      </w:pPr>
      <w:r>
        <w:t xml:space="preserve">No. of References= </w:t>
      </w:r>
      <w:r w:rsidR="00F35846">
        <w:t>12</w:t>
      </w:r>
    </w:p>
    <w:p w:rsidR="00856E84" w:rsidRDefault="00856E84" w:rsidP="00A073FE">
      <w:pPr>
        <w:pStyle w:val="NoSpacing"/>
      </w:pPr>
    </w:p>
    <w:p w:rsidR="00856E84" w:rsidRDefault="00856E84" w:rsidP="00A073FE">
      <w:pPr>
        <w:pStyle w:val="NoSpacing"/>
      </w:pPr>
    </w:p>
    <w:p w:rsidR="00856E84" w:rsidRPr="0083646C" w:rsidRDefault="00856E84" w:rsidP="0083646C">
      <w:pPr>
        <w:rPr>
          <w:rStyle w:val="Emphasis"/>
        </w:rPr>
      </w:pPr>
      <w:r>
        <w:t>KEYWORDS: TNM, Prognostic Factors, Combinations, Staging, Survival Rates</w:t>
      </w:r>
    </w:p>
    <w:p w:rsidR="00EE062C" w:rsidRDefault="00EE062C" w:rsidP="005D5320">
      <w:pPr>
        <w:ind w:firstLine="0"/>
        <w:rPr>
          <w:rStyle w:val="Emphasis"/>
          <w:b/>
          <w:sz w:val="28"/>
          <w:szCs w:val="28"/>
        </w:rPr>
      </w:pPr>
      <w:r>
        <w:rPr>
          <w:rStyle w:val="Emphasis"/>
          <w:b/>
          <w:sz w:val="28"/>
          <w:szCs w:val="28"/>
        </w:rPr>
        <w:br w:type="page"/>
      </w:r>
    </w:p>
    <w:p w:rsidR="00856E84" w:rsidRPr="00804009" w:rsidRDefault="00856E84" w:rsidP="005D5320">
      <w:pPr>
        <w:ind w:firstLine="0"/>
        <w:rPr>
          <w:rStyle w:val="Emphasis"/>
          <w:b/>
          <w:sz w:val="28"/>
          <w:szCs w:val="28"/>
        </w:rPr>
      </w:pPr>
    </w:p>
    <w:p w:rsidR="0051479E" w:rsidRPr="008E537E" w:rsidRDefault="00E65882" w:rsidP="0070680C">
      <w:pPr>
        <w:rPr>
          <w:rStyle w:val="Strong"/>
        </w:rPr>
      </w:pPr>
      <w:r w:rsidRPr="008E537E">
        <w:rPr>
          <w:rStyle w:val="Strong"/>
        </w:rPr>
        <w:t>Abstract</w:t>
      </w:r>
    </w:p>
    <w:p w:rsidR="00485C27" w:rsidRDefault="008E537E" w:rsidP="00BF7F29">
      <w:pPr>
        <w:rPr>
          <w:szCs w:val="24"/>
        </w:rPr>
      </w:pPr>
      <w:r w:rsidRPr="008E537E">
        <w:rPr>
          <w:rStyle w:val="Emphasis"/>
          <w:b/>
          <w:szCs w:val="24"/>
        </w:rPr>
        <w:t>Background and Objectives</w:t>
      </w:r>
      <w:r>
        <w:rPr>
          <w:rStyle w:val="Emphasis"/>
          <w:szCs w:val="24"/>
        </w:rPr>
        <w:t xml:space="preserve">: </w:t>
      </w:r>
      <w:r w:rsidR="0051479E" w:rsidRPr="00170C75">
        <w:rPr>
          <w:rStyle w:val="Emphasis"/>
          <w:szCs w:val="24"/>
        </w:rPr>
        <w:t>The su</w:t>
      </w:r>
      <w:r w:rsidR="0069116C">
        <w:rPr>
          <w:rStyle w:val="Emphasis"/>
          <w:szCs w:val="24"/>
        </w:rPr>
        <w:t>rvival and management</w:t>
      </w:r>
      <w:r w:rsidR="0051479E" w:rsidRPr="00170C75">
        <w:rPr>
          <w:rStyle w:val="Emphasis"/>
          <w:szCs w:val="24"/>
        </w:rPr>
        <w:t xml:space="preserve"> of solid tumors </w:t>
      </w:r>
      <w:proofErr w:type="gramStart"/>
      <w:r w:rsidR="0051479E" w:rsidRPr="00170C75">
        <w:rPr>
          <w:rStyle w:val="Emphasis"/>
          <w:szCs w:val="24"/>
        </w:rPr>
        <w:t>are governed</w:t>
      </w:r>
      <w:proofErr w:type="gramEnd"/>
      <w:r w:rsidR="0051479E" w:rsidRPr="00170C75">
        <w:rPr>
          <w:rStyle w:val="Emphasis"/>
          <w:szCs w:val="24"/>
        </w:rPr>
        <w:t xml:space="preserve"> by host and tumor </w:t>
      </w:r>
      <w:r w:rsidR="001D2076" w:rsidRPr="00170C75">
        <w:rPr>
          <w:rStyle w:val="Emphasis"/>
          <w:szCs w:val="24"/>
        </w:rPr>
        <w:t>factors that</w:t>
      </w:r>
      <w:r w:rsidR="0051479E" w:rsidRPr="00170C75">
        <w:rPr>
          <w:rStyle w:val="Emphasis"/>
          <w:szCs w:val="24"/>
        </w:rPr>
        <w:t xml:space="preserve"> traditional</w:t>
      </w:r>
      <w:r w:rsidR="00170C75">
        <w:rPr>
          <w:rStyle w:val="Emphasis"/>
          <w:szCs w:val="24"/>
        </w:rPr>
        <w:t>ly have</w:t>
      </w:r>
      <w:r w:rsidR="0051479E" w:rsidRPr="00170C75">
        <w:rPr>
          <w:rStyle w:val="Emphasis"/>
          <w:szCs w:val="24"/>
        </w:rPr>
        <w:t xml:space="preserve"> incorporated TNM staging with additional pat</w:t>
      </w:r>
      <w:r w:rsidR="0051479E" w:rsidRPr="00170C75">
        <w:rPr>
          <w:rStyle w:val="Emphasis"/>
          <w:szCs w:val="24"/>
        </w:rPr>
        <w:t>h</w:t>
      </w:r>
      <w:r w:rsidR="0051479E" w:rsidRPr="00170C75">
        <w:rPr>
          <w:rStyle w:val="Emphasis"/>
          <w:szCs w:val="24"/>
        </w:rPr>
        <w:t xml:space="preserve">ologic, </w:t>
      </w:r>
      <w:r w:rsidR="001D2076" w:rsidRPr="00170C75">
        <w:rPr>
          <w:rStyle w:val="Emphasis"/>
          <w:szCs w:val="24"/>
        </w:rPr>
        <w:t>biologic,</w:t>
      </w:r>
      <w:r w:rsidR="0051479E" w:rsidRPr="00170C75">
        <w:rPr>
          <w:rStyle w:val="Emphasis"/>
          <w:szCs w:val="24"/>
        </w:rPr>
        <w:t xml:space="preserve"> and clinical host factors.</w:t>
      </w:r>
      <w:r w:rsidR="0069116C">
        <w:rPr>
          <w:rStyle w:val="Emphasis"/>
          <w:szCs w:val="24"/>
        </w:rPr>
        <w:t xml:space="preserve"> </w:t>
      </w:r>
      <w:r w:rsidR="0051479E" w:rsidRPr="00170C75">
        <w:rPr>
          <w:rStyle w:val="Emphasis"/>
          <w:szCs w:val="24"/>
        </w:rPr>
        <w:t>Beyon</w:t>
      </w:r>
      <w:r w:rsidR="008457B6">
        <w:rPr>
          <w:rStyle w:val="Emphasis"/>
          <w:szCs w:val="24"/>
        </w:rPr>
        <w:t>d the anatomic-based TNM</w:t>
      </w:r>
      <w:r w:rsidR="0051479E" w:rsidRPr="00170C75">
        <w:rPr>
          <w:rStyle w:val="Emphasis"/>
          <w:szCs w:val="24"/>
        </w:rPr>
        <w:t>, increasing</w:t>
      </w:r>
      <w:r w:rsidR="00835DD1">
        <w:rPr>
          <w:rStyle w:val="Emphasis"/>
          <w:szCs w:val="24"/>
        </w:rPr>
        <w:t>ly</w:t>
      </w:r>
      <w:r w:rsidR="0051479E" w:rsidRPr="00170C75">
        <w:rPr>
          <w:rStyle w:val="Emphasis"/>
          <w:szCs w:val="24"/>
        </w:rPr>
        <w:t xml:space="preserve"> new prognostic and predictive fa</w:t>
      </w:r>
      <w:r w:rsidR="0069116C">
        <w:rPr>
          <w:rStyle w:val="Emphasis"/>
          <w:szCs w:val="24"/>
        </w:rPr>
        <w:t xml:space="preserve">ctors </w:t>
      </w:r>
      <w:proofErr w:type="gramStart"/>
      <w:r w:rsidR="0069116C">
        <w:rPr>
          <w:rStyle w:val="Emphasis"/>
          <w:szCs w:val="24"/>
        </w:rPr>
        <w:t>are being discovered</w:t>
      </w:r>
      <w:proofErr w:type="gramEnd"/>
      <w:r w:rsidR="0069116C">
        <w:rPr>
          <w:rStyle w:val="Emphasis"/>
          <w:szCs w:val="24"/>
        </w:rPr>
        <w:t xml:space="preserve"> that</w:t>
      </w:r>
      <w:r w:rsidR="0051479E" w:rsidRPr="00170C75">
        <w:rPr>
          <w:rStyle w:val="Emphasis"/>
          <w:szCs w:val="24"/>
        </w:rPr>
        <w:t xml:space="preserve"> </w:t>
      </w:r>
      <w:r w:rsidR="00170C75" w:rsidRPr="00170C75">
        <w:rPr>
          <w:rStyle w:val="Emphasis"/>
          <w:szCs w:val="24"/>
        </w:rPr>
        <w:t>ha</w:t>
      </w:r>
      <w:r w:rsidR="00170C75">
        <w:rPr>
          <w:rStyle w:val="Emphasis"/>
          <w:szCs w:val="24"/>
        </w:rPr>
        <w:t>ve important surviv</w:t>
      </w:r>
      <w:r w:rsidR="00170C75" w:rsidRPr="00170C75">
        <w:rPr>
          <w:rStyle w:val="Emphasis"/>
          <w:szCs w:val="24"/>
        </w:rPr>
        <w:t>al and treatment implications.</w:t>
      </w:r>
      <w:r w:rsidR="0069116C">
        <w:rPr>
          <w:rStyle w:val="Emphasis"/>
          <w:szCs w:val="24"/>
        </w:rPr>
        <w:t xml:space="preserve"> </w:t>
      </w:r>
      <w:r w:rsidR="00170C75" w:rsidRPr="00170C75">
        <w:rPr>
          <w:rStyle w:val="Emphasis"/>
          <w:szCs w:val="24"/>
        </w:rPr>
        <w:t xml:space="preserve">However, </w:t>
      </w:r>
      <w:r w:rsidR="00BF7F29">
        <w:rPr>
          <w:rStyle w:val="Emphasis"/>
          <w:szCs w:val="24"/>
        </w:rPr>
        <w:t xml:space="preserve">because </w:t>
      </w:r>
      <w:r w:rsidR="00170C75" w:rsidRPr="00170C75">
        <w:rPr>
          <w:rStyle w:val="Emphasis"/>
          <w:szCs w:val="24"/>
        </w:rPr>
        <w:t>t</w:t>
      </w:r>
      <w:r w:rsidR="002B5B01">
        <w:rPr>
          <w:rStyle w:val="Emphasis"/>
          <w:szCs w:val="24"/>
        </w:rPr>
        <w:t>he TNM</w:t>
      </w:r>
      <w:r w:rsidR="0051479E" w:rsidRPr="00170C75">
        <w:rPr>
          <w:rStyle w:val="Emphasis"/>
          <w:szCs w:val="24"/>
        </w:rPr>
        <w:t xml:space="preserve"> staging system </w:t>
      </w:r>
      <w:proofErr w:type="gramStart"/>
      <w:r w:rsidR="0051479E" w:rsidRPr="00170C75">
        <w:rPr>
          <w:rStyle w:val="Emphasis"/>
          <w:szCs w:val="24"/>
        </w:rPr>
        <w:t>is based</w:t>
      </w:r>
      <w:proofErr w:type="gramEnd"/>
      <w:r w:rsidR="0051479E" w:rsidRPr="00170C75">
        <w:rPr>
          <w:rStyle w:val="Emphasis"/>
          <w:szCs w:val="24"/>
        </w:rPr>
        <w:t xml:space="preserve"> on a “bin” model</w:t>
      </w:r>
      <w:r w:rsidR="00BF7F29">
        <w:rPr>
          <w:rStyle w:val="Emphasis"/>
          <w:szCs w:val="24"/>
        </w:rPr>
        <w:t xml:space="preserve">, </w:t>
      </w:r>
      <w:r w:rsidR="0051479E" w:rsidRPr="00170C75">
        <w:rPr>
          <w:rStyle w:val="Emphasis"/>
          <w:szCs w:val="24"/>
        </w:rPr>
        <w:t>additional prognostic factors would rapidly overwhelm the</w:t>
      </w:r>
      <w:r w:rsidR="00BF557D">
        <w:rPr>
          <w:rStyle w:val="Emphasis"/>
          <w:szCs w:val="24"/>
        </w:rPr>
        <w:t xml:space="preserve"> current</w:t>
      </w:r>
      <w:r w:rsidR="0051479E" w:rsidRPr="00170C75">
        <w:rPr>
          <w:rStyle w:val="Emphasis"/>
          <w:szCs w:val="24"/>
        </w:rPr>
        <w:t xml:space="preserve"> system</w:t>
      </w:r>
      <w:r w:rsidR="00170C75" w:rsidRPr="00170C75">
        <w:rPr>
          <w:rStyle w:val="Emphasis"/>
          <w:szCs w:val="24"/>
        </w:rPr>
        <w:t>.</w:t>
      </w:r>
      <w:r w:rsidR="0069116C">
        <w:rPr>
          <w:rStyle w:val="Emphasis"/>
          <w:szCs w:val="24"/>
        </w:rPr>
        <w:t xml:space="preserve"> </w:t>
      </w:r>
      <w:r w:rsidR="00C317FC" w:rsidRPr="00C317FC">
        <w:rPr>
          <w:szCs w:val="24"/>
        </w:rPr>
        <w:t>This communication demo</w:t>
      </w:r>
      <w:r w:rsidR="00C317FC" w:rsidRPr="00C317FC">
        <w:rPr>
          <w:szCs w:val="24"/>
        </w:rPr>
        <w:t>n</w:t>
      </w:r>
      <w:r w:rsidR="00C317FC" w:rsidRPr="00C317FC">
        <w:rPr>
          <w:szCs w:val="24"/>
        </w:rPr>
        <w:t>strates the clinical implications derived from a new algorithmic model based on clustering anal</w:t>
      </w:r>
      <w:r w:rsidR="00C317FC" w:rsidRPr="00C317FC">
        <w:rPr>
          <w:szCs w:val="24"/>
        </w:rPr>
        <w:t>y</w:t>
      </w:r>
      <w:r w:rsidR="00C317FC" w:rsidRPr="00C317FC">
        <w:rPr>
          <w:szCs w:val="24"/>
        </w:rPr>
        <w:t>sis that i</w:t>
      </w:r>
      <w:r w:rsidR="00C317FC" w:rsidRPr="00C317FC">
        <w:rPr>
          <w:szCs w:val="24"/>
        </w:rPr>
        <w:t>n</w:t>
      </w:r>
      <w:r w:rsidR="00C317FC" w:rsidRPr="00C317FC">
        <w:rPr>
          <w:szCs w:val="24"/>
        </w:rPr>
        <w:t xml:space="preserve">tegrates any number and type of </w:t>
      </w:r>
      <w:r w:rsidR="007C24FD">
        <w:rPr>
          <w:szCs w:val="24"/>
        </w:rPr>
        <w:t>additional</w:t>
      </w:r>
      <w:r w:rsidR="00C317FC" w:rsidRPr="00C317FC">
        <w:rPr>
          <w:szCs w:val="24"/>
        </w:rPr>
        <w:t xml:space="preserve"> </w:t>
      </w:r>
      <w:r w:rsidR="008457B6">
        <w:rPr>
          <w:szCs w:val="24"/>
        </w:rPr>
        <w:t>factors into the TNM</w:t>
      </w:r>
      <w:r w:rsidR="00C317FC" w:rsidRPr="00C317FC">
        <w:rPr>
          <w:szCs w:val="24"/>
        </w:rPr>
        <w:t>.</w:t>
      </w:r>
    </w:p>
    <w:p w:rsidR="00C317FC" w:rsidRPr="002A06EE" w:rsidRDefault="00C317FC" w:rsidP="00BF7F29">
      <w:pPr>
        <w:rPr>
          <w:rStyle w:val="Emphasis"/>
          <w:szCs w:val="24"/>
        </w:rPr>
      </w:pPr>
      <w:r w:rsidRPr="00C317FC">
        <w:rPr>
          <w:b/>
          <w:szCs w:val="24"/>
        </w:rPr>
        <w:t>Methods:</w:t>
      </w:r>
      <w:r w:rsidR="002A06EE">
        <w:rPr>
          <w:b/>
          <w:szCs w:val="24"/>
        </w:rPr>
        <w:t xml:space="preserve"> </w:t>
      </w:r>
      <w:r w:rsidR="002A06EE" w:rsidRPr="002A06EE">
        <w:rPr>
          <w:szCs w:val="24"/>
        </w:rPr>
        <w:t xml:space="preserve">A new algorithm </w:t>
      </w:r>
      <w:proofErr w:type="gramStart"/>
      <w:r w:rsidR="002A06EE" w:rsidRPr="002A06EE">
        <w:rPr>
          <w:szCs w:val="24"/>
        </w:rPr>
        <w:t>is described</w:t>
      </w:r>
      <w:proofErr w:type="gramEnd"/>
      <w:r w:rsidR="002A06EE" w:rsidRPr="002A06EE">
        <w:rPr>
          <w:szCs w:val="24"/>
        </w:rPr>
        <w:t xml:space="preserve"> that integrates additional factors into the TNM</w:t>
      </w:r>
      <w:r w:rsidR="00703EF5">
        <w:rPr>
          <w:szCs w:val="24"/>
        </w:rPr>
        <w:t xml:space="preserve"> and calculates survival.</w:t>
      </w:r>
    </w:p>
    <w:p w:rsidR="00E8578E" w:rsidRDefault="00485C27" w:rsidP="00BF7F29">
      <w:pPr>
        <w:rPr>
          <w:rStyle w:val="Emphasis"/>
          <w:szCs w:val="24"/>
        </w:rPr>
      </w:pPr>
      <w:r>
        <w:rPr>
          <w:rStyle w:val="Emphasis"/>
          <w:b/>
          <w:szCs w:val="24"/>
        </w:rPr>
        <w:t xml:space="preserve">Results: </w:t>
      </w:r>
      <w:r w:rsidR="00BF557D">
        <w:rPr>
          <w:rStyle w:val="Emphasis"/>
          <w:szCs w:val="24"/>
        </w:rPr>
        <w:t>The results indicate that</w:t>
      </w:r>
      <w:r w:rsidR="002A06EE">
        <w:rPr>
          <w:rStyle w:val="Emphasis"/>
          <w:szCs w:val="24"/>
        </w:rPr>
        <w:t xml:space="preserve"> additional</w:t>
      </w:r>
      <w:r w:rsidR="00C317FC">
        <w:rPr>
          <w:rStyle w:val="Emphasis"/>
          <w:szCs w:val="24"/>
        </w:rPr>
        <w:t xml:space="preserve"> factors </w:t>
      </w:r>
      <w:proofErr w:type="gramStart"/>
      <w:r w:rsidR="00B65D12">
        <w:rPr>
          <w:rStyle w:val="Emphasis"/>
          <w:szCs w:val="24"/>
        </w:rPr>
        <w:t>can be integrated</w:t>
      </w:r>
      <w:proofErr w:type="gramEnd"/>
      <w:r w:rsidR="00B65D12">
        <w:rPr>
          <w:rStyle w:val="Emphasis"/>
          <w:szCs w:val="24"/>
        </w:rPr>
        <w:t xml:space="preserve"> </w:t>
      </w:r>
      <w:r w:rsidR="00C317FC">
        <w:rPr>
          <w:rStyle w:val="Emphasis"/>
          <w:szCs w:val="24"/>
        </w:rPr>
        <w:t xml:space="preserve">into the TNM </w:t>
      </w:r>
      <w:r w:rsidR="00B65D12">
        <w:rPr>
          <w:rStyle w:val="Emphasis"/>
          <w:szCs w:val="24"/>
        </w:rPr>
        <w:t xml:space="preserve">staging system that </w:t>
      </w:r>
      <w:r w:rsidR="008457B6">
        <w:rPr>
          <w:rStyle w:val="Emphasis"/>
          <w:szCs w:val="24"/>
        </w:rPr>
        <w:t xml:space="preserve">provides </w:t>
      </w:r>
      <w:r w:rsidR="00C317FC">
        <w:rPr>
          <w:rStyle w:val="Emphasis"/>
          <w:szCs w:val="24"/>
        </w:rPr>
        <w:t>additional patient stratification</w:t>
      </w:r>
      <w:r w:rsidR="00BF557D">
        <w:rPr>
          <w:rStyle w:val="Emphasis"/>
          <w:szCs w:val="24"/>
        </w:rPr>
        <w:t xml:space="preserve"> without changing the TNM definitions.</w:t>
      </w:r>
      <w:r w:rsidR="008457B6">
        <w:rPr>
          <w:rStyle w:val="Emphasis"/>
          <w:szCs w:val="24"/>
        </w:rPr>
        <w:t xml:space="preserve"> </w:t>
      </w:r>
    </w:p>
    <w:p w:rsidR="009061EA" w:rsidRPr="00BC3957" w:rsidRDefault="00E8578E" w:rsidP="00593A6B">
      <w:pPr>
        <w:rPr>
          <w:rStyle w:val="Strong"/>
          <w:sz w:val="24"/>
          <w:szCs w:val="24"/>
        </w:rPr>
      </w:pPr>
      <w:r w:rsidRPr="00935BBA">
        <w:rPr>
          <w:rStyle w:val="Strong"/>
          <w:b/>
          <w:sz w:val="24"/>
          <w:szCs w:val="24"/>
        </w:rPr>
        <w:t>Conclusions</w:t>
      </w:r>
      <w:r w:rsidR="00BC3957">
        <w:rPr>
          <w:rStyle w:val="Strong"/>
          <w:b/>
          <w:sz w:val="24"/>
          <w:szCs w:val="24"/>
        </w:rPr>
        <w:t xml:space="preserve">: </w:t>
      </w:r>
      <w:r w:rsidR="00BC3957" w:rsidRPr="00BC3957">
        <w:rPr>
          <w:rStyle w:val="Strong"/>
          <w:sz w:val="24"/>
          <w:szCs w:val="24"/>
        </w:rPr>
        <w:t>Integration</w:t>
      </w:r>
      <w:r w:rsidR="00BC3957">
        <w:rPr>
          <w:rStyle w:val="Strong"/>
          <w:sz w:val="24"/>
          <w:szCs w:val="24"/>
        </w:rPr>
        <w:t xml:space="preserve"> of additional prognostic factors </w:t>
      </w:r>
      <w:r w:rsidR="00703EF5">
        <w:rPr>
          <w:rStyle w:val="Strong"/>
          <w:sz w:val="24"/>
          <w:szCs w:val="24"/>
        </w:rPr>
        <w:t xml:space="preserve">into the </w:t>
      </w:r>
      <w:r w:rsidR="00BC3957">
        <w:rPr>
          <w:rStyle w:val="Strong"/>
          <w:sz w:val="24"/>
          <w:szCs w:val="24"/>
        </w:rPr>
        <w:t>TNM by a clustering alg</w:t>
      </w:r>
      <w:r w:rsidR="00BC3957">
        <w:rPr>
          <w:rStyle w:val="Strong"/>
          <w:sz w:val="24"/>
          <w:szCs w:val="24"/>
        </w:rPr>
        <w:t>o</w:t>
      </w:r>
      <w:r w:rsidR="00BC3957">
        <w:rPr>
          <w:rStyle w:val="Strong"/>
          <w:sz w:val="24"/>
          <w:szCs w:val="24"/>
        </w:rPr>
        <w:t xml:space="preserve">rithm </w:t>
      </w:r>
      <w:r w:rsidR="00BB6ADF">
        <w:rPr>
          <w:rStyle w:val="Strong"/>
          <w:sz w:val="24"/>
          <w:szCs w:val="24"/>
        </w:rPr>
        <w:t>can change the stratification of patient outcome</w:t>
      </w:r>
      <w:r w:rsidR="00703EF5">
        <w:rPr>
          <w:rStyle w:val="Strong"/>
          <w:sz w:val="24"/>
          <w:szCs w:val="24"/>
        </w:rPr>
        <w:t xml:space="preserve">. </w:t>
      </w:r>
      <w:r w:rsidR="00BB6ADF">
        <w:rPr>
          <w:rStyle w:val="Strong"/>
          <w:sz w:val="24"/>
          <w:szCs w:val="24"/>
        </w:rPr>
        <w:t xml:space="preserve">This </w:t>
      </w:r>
      <w:r w:rsidR="00703EF5">
        <w:rPr>
          <w:rStyle w:val="Strong"/>
          <w:sz w:val="24"/>
          <w:szCs w:val="24"/>
        </w:rPr>
        <w:t>may guide the clini</w:t>
      </w:r>
      <w:r w:rsidR="00B33690">
        <w:rPr>
          <w:rStyle w:val="Strong"/>
          <w:sz w:val="24"/>
          <w:szCs w:val="24"/>
        </w:rPr>
        <w:t>cian to select</w:t>
      </w:r>
      <w:r w:rsidR="00703EF5">
        <w:rPr>
          <w:rStyle w:val="Strong"/>
          <w:sz w:val="24"/>
          <w:szCs w:val="24"/>
        </w:rPr>
        <w:t xml:space="preserve"> a more rational management </w:t>
      </w:r>
      <w:r w:rsidR="00B33690">
        <w:rPr>
          <w:rStyle w:val="Strong"/>
          <w:sz w:val="24"/>
          <w:szCs w:val="24"/>
        </w:rPr>
        <w:t>program</w:t>
      </w:r>
      <w:r w:rsidR="00BB6ADF">
        <w:rPr>
          <w:rStyle w:val="Strong"/>
          <w:sz w:val="24"/>
          <w:szCs w:val="24"/>
        </w:rPr>
        <w:t xml:space="preserve"> </w:t>
      </w:r>
      <w:r w:rsidR="00703EF5">
        <w:rPr>
          <w:rStyle w:val="Strong"/>
          <w:sz w:val="24"/>
          <w:szCs w:val="24"/>
        </w:rPr>
        <w:t>based on the</w:t>
      </w:r>
      <w:r w:rsidR="00C86F09">
        <w:rPr>
          <w:rStyle w:val="Strong"/>
          <w:sz w:val="24"/>
          <w:szCs w:val="24"/>
        </w:rPr>
        <w:t xml:space="preserve"> additional factors and improve cohort selection for clinical trials.</w:t>
      </w:r>
    </w:p>
    <w:p w:rsidR="009061EA" w:rsidRDefault="009061EA" w:rsidP="00593A6B">
      <w:pPr>
        <w:rPr>
          <w:rStyle w:val="Strong"/>
          <w:b/>
          <w:sz w:val="24"/>
          <w:szCs w:val="24"/>
        </w:rPr>
      </w:pPr>
    </w:p>
    <w:p w:rsidR="009061EA" w:rsidRDefault="009061EA" w:rsidP="00593A6B">
      <w:pPr>
        <w:rPr>
          <w:rStyle w:val="Strong"/>
          <w:b/>
          <w:sz w:val="24"/>
          <w:szCs w:val="24"/>
        </w:rPr>
      </w:pPr>
    </w:p>
    <w:p w:rsidR="009061EA" w:rsidRDefault="009061EA" w:rsidP="00593A6B">
      <w:pPr>
        <w:rPr>
          <w:rStyle w:val="Strong"/>
          <w:b/>
          <w:sz w:val="24"/>
          <w:szCs w:val="24"/>
        </w:rPr>
      </w:pPr>
    </w:p>
    <w:p w:rsidR="0051479E" w:rsidRPr="00593A6B" w:rsidRDefault="0051479E" w:rsidP="00935BBA">
      <w:pPr>
        <w:rPr>
          <w:rStyle w:val="Strong"/>
          <w:sz w:val="24"/>
          <w:szCs w:val="24"/>
        </w:rPr>
      </w:pPr>
    </w:p>
    <w:p w:rsidR="00E65882" w:rsidRPr="0051479E" w:rsidRDefault="0051479E" w:rsidP="0051479E">
      <w:pPr>
        <w:rPr>
          <w:rStyle w:val="Emphasis"/>
          <w:szCs w:val="24"/>
          <w:u w:val="single"/>
        </w:rPr>
      </w:pPr>
      <w:r>
        <w:rPr>
          <w:szCs w:val="24"/>
          <w:u w:val="single"/>
        </w:rPr>
        <w:br w:type="page"/>
      </w:r>
    </w:p>
    <w:p w:rsidR="00E65882" w:rsidRPr="000D3F28" w:rsidRDefault="000D3F28" w:rsidP="0051479E">
      <w:pPr>
        <w:spacing w:line="240" w:lineRule="auto"/>
        <w:ind w:firstLine="0"/>
        <w:rPr>
          <w:rStyle w:val="Strong"/>
          <w:b/>
        </w:rPr>
      </w:pPr>
      <w:r w:rsidRPr="000D3F28">
        <w:rPr>
          <w:rStyle w:val="Strong"/>
          <w:b/>
        </w:rPr>
        <w:lastRenderedPageBreak/>
        <w:t>Introduction</w:t>
      </w:r>
    </w:p>
    <w:p w:rsidR="000D3F28" w:rsidRPr="000D3F28" w:rsidRDefault="000D3F28" w:rsidP="0051479E">
      <w:pPr>
        <w:spacing w:line="240" w:lineRule="auto"/>
        <w:ind w:firstLine="0"/>
        <w:rPr>
          <w:rStyle w:val="Emphasis"/>
          <w:b/>
          <w:szCs w:val="24"/>
        </w:rPr>
      </w:pPr>
    </w:p>
    <w:p w:rsidR="002F1706" w:rsidRDefault="00856E84" w:rsidP="0092615F">
      <w:pPr>
        <w:rPr>
          <w:rStyle w:val="Emphasis"/>
          <w:szCs w:val="24"/>
        </w:rPr>
      </w:pPr>
      <w:r>
        <w:rPr>
          <w:rStyle w:val="Emphasis"/>
          <w:szCs w:val="24"/>
        </w:rPr>
        <w:t xml:space="preserve">The prognosis and management of solid tumors </w:t>
      </w:r>
      <w:proofErr w:type="gramStart"/>
      <w:r>
        <w:rPr>
          <w:rStyle w:val="Emphasis"/>
          <w:szCs w:val="24"/>
        </w:rPr>
        <w:t>is based</w:t>
      </w:r>
      <w:proofErr w:type="gramEnd"/>
      <w:r>
        <w:rPr>
          <w:rStyle w:val="Emphasis"/>
          <w:szCs w:val="24"/>
        </w:rPr>
        <w:t xml:space="preserve"> on the assessment of pathologic, molecular, and epidemiologic factors that govern tumor biology.</w:t>
      </w:r>
      <w:r w:rsidR="0069116C">
        <w:rPr>
          <w:rStyle w:val="Emphasis"/>
          <w:szCs w:val="24"/>
        </w:rPr>
        <w:t xml:space="preserve"> </w:t>
      </w:r>
      <w:r>
        <w:rPr>
          <w:rStyle w:val="Emphasis"/>
          <w:szCs w:val="24"/>
        </w:rPr>
        <w:t xml:space="preserve">These prognostic and predictive factors include clinical presentation and functional status, tumor diagnosis and extent of disease, and biologic </w:t>
      </w:r>
      <w:r w:rsidR="001D2076">
        <w:rPr>
          <w:rStyle w:val="Emphasis"/>
          <w:szCs w:val="24"/>
        </w:rPr>
        <w:t>factors that</w:t>
      </w:r>
      <w:r>
        <w:rPr>
          <w:rStyle w:val="Emphasis"/>
          <w:szCs w:val="24"/>
        </w:rPr>
        <w:t xml:space="preserve"> are prognostic for survival and predictive of clinical response to ther</w:t>
      </w:r>
      <w:r>
        <w:rPr>
          <w:rStyle w:val="Emphasis"/>
          <w:szCs w:val="24"/>
        </w:rPr>
        <w:t>a</w:t>
      </w:r>
      <w:r>
        <w:rPr>
          <w:rStyle w:val="Emphasis"/>
          <w:szCs w:val="24"/>
        </w:rPr>
        <w:t>py.</w:t>
      </w:r>
      <w:r w:rsidR="0069116C">
        <w:rPr>
          <w:rStyle w:val="Emphasis"/>
          <w:szCs w:val="24"/>
        </w:rPr>
        <w:t xml:space="preserve"> </w:t>
      </w:r>
      <w:r w:rsidR="00935AD3">
        <w:rPr>
          <w:rStyle w:val="Emphasis"/>
          <w:szCs w:val="24"/>
        </w:rPr>
        <w:t xml:space="preserve">Traditionally, TNM </w:t>
      </w:r>
      <w:r>
        <w:rPr>
          <w:rStyle w:val="Emphasis"/>
          <w:szCs w:val="24"/>
        </w:rPr>
        <w:t xml:space="preserve">staging, based on </w:t>
      </w:r>
      <w:r w:rsidR="00EE172E">
        <w:rPr>
          <w:rStyle w:val="Emphasis"/>
          <w:szCs w:val="24"/>
        </w:rPr>
        <w:t>the anatomic</w:t>
      </w:r>
      <w:r>
        <w:rPr>
          <w:rStyle w:val="Emphasis"/>
          <w:szCs w:val="24"/>
        </w:rPr>
        <w:t xml:space="preserve"> factors of </w:t>
      </w:r>
      <w:r w:rsidR="00846122">
        <w:rPr>
          <w:rStyle w:val="Emphasis"/>
          <w:szCs w:val="24"/>
        </w:rPr>
        <w:t>tumor size or</w:t>
      </w:r>
      <w:r>
        <w:rPr>
          <w:rStyle w:val="Emphasis"/>
          <w:szCs w:val="24"/>
        </w:rPr>
        <w:t xml:space="preserve"> extent, nodal i</w:t>
      </w:r>
      <w:r>
        <w:rPr>
          <w:rStyle w:val="Emphasis"/>
          <w:szCs w:val="24"/>
        </w:rPr>
        <w:t>n</w:t>
      </w:r>
      <w:r>
        <w:rPr>
          <w:rStyle w:val="Emphasis"/>
          <w:szCs w:val="24"/>
        </w:rPr>
        <w:t>volvement, and metastatic spread</w:t>
      </w:r>
      <w:r w:rsidR="00AC22A0">
        <w:rPr>
          <w:rStyle w:val="Emphasis"/>
          <w:szCs w:val="24"/>
        </w:rPr>
        <w:t xml:space="preserve">, was sufficient to provide </w:t>
      </w:r>
      <w:r>
        <w:rPr>
          <w:rStyle w:val="Emphasis"/>
          <w:szCs w:val="24"/>
        </w:rPr>
        <w:t>basic information for tumor asses</w:t>
      </w:r>
      <w:r>
        <w:rPr>
          <w:rStyle w:val="Emphasis"/>
          <w:szCs w:val="24"/>
        </w:rPr>
        <w:t>s</w:t>
      </w:r>
      <w:r>
        <w:rPr>
          <w:rStyle w:val="Emphasis"/>
          <w:szCs w:val="24"/>
        </w:rPr>
        <w:t>ment, treatment, and prognosis.</w:t>
      </w:r>
      <w:r w:rsidR="0069116C">
        <w:rPr>
          <w:rStyle w:val="Emphasis"/>
          <w:szCs w:val="24"/>
        </w:rPr>
        <w:t xml:space="preserve"> </w:t>
      </w:r>
      <w:r w:rsidR="004C6829">
        <w:rPr>
          <w:rStyle w:val="Emphasis"/>
          <w:szCs w:val="24"/>
        </w:rPr>
        <w:t>However, g</w:t>
      </w:r>
      <w:r>
        <w:rPr>
          <w:rStyle w:val="Emphasis"/>
          <w:szCs w:val="24"/>
        </w:rPr>
        <w:t>iven the rapid development of new prognostic and predictive factors and the</w:t>
      </w:r>
      <w:r w:rsidR="0095762B">
        <w:rPr>
          <w:rStyle w:val="Emphasis"/>
          <w:szCs w:val="24"/>
        </w:rPr>
        <w:t xml:space="preserve"> limitation of the</w:t>
      </w:r>
      <w:r w:rsidR="004C6829">
        <w:rPr>
          <w:rStyle w:val="Emphasis"/>
          <w:szCs w:val="24"/>
        </w:rPr>
        <w:t xml:space="preserve"> “bin” nature of the TNM</w:t>
      </w:r>
      <w:r>
        <w:rPr>
          <w:rStyle w:val="Emphasis"/>
          <w:szCs w:val="24"/>
        </w:rPr>
        <w:t xml:space="preserve">, additional parameters would rapidly </w:t>
      </w:r>
      <w:r w:rsidR="00E60EF3">
        <w:rPr>
          <w:rStyle w:val="Emphasis"/>
          <w:szCs w:val="24"/>
        </w:rPr>
        <w:t>overwhelm the TNM.</w:t>
      </w:r>
      <w:r w:rsidR="003C4DB8">
        <w:rPr>
          <w:rStyle w:val="Emphasis"/>
          <w:szCs w:val="24"/>
        </w:rPr>
        <w:t xml:space="preserve"> (1)</w:t>
      </w:r>
      <w:r w:rsidR="0069116C">
        <w:rPr>
          <w:rStyle w:val="Emphasis"/>
          <w:szCs w:val="24"/>
        </w:rPr>
        <w:t xml:space="preserve"> </w:t>
      </w:r>
      <w:r w:rsidR="005E70E9">
        <w:rPr>
          <w:rStyle w:val="Emphasis"/>
          <w:szCs w:val="24"/>
        </w:rPr>
        <w:t>Nonetheless, t</w:t>
      </w:r>
      <w:r>
        <w:rPr>
          <w:rStyle w:val="Emphasis"/>
          <w:szCs w:val="24"/>
        </w:rPr>
        <w:t xml:space="preserve">hese newer factors are </w:t>
      </w:r>
      <w:r w:rsidR="005E70E9">
        <w:rPr>
          <w:rStyle w:val="Emphasis"/>
          <w:szCs w:val="24"/>
        </w:rPr>
        <w:t xml:space="preserve">proving </w:t>
      </w:r>
      <w:r>
        <w:rPr>
          <w:rStyle w:val="Emphasis"/>
          <w:szCs w:val="24"/>
        </w:rPr>
        <w:t xml:space="preserve">crucial for </w:t>
      </w:r>
      <w:r w:rsidR="005E70E9">
        <w:rPr>
          <w:rStyle w:val="Emphasis"/>
          <w:szCs w:val="24"/>
        </w:rPr>
        <w:t>an e</w:t>
      </w:r>
      <w:r w:rsidR="005E70E9">
        <w:rPr>
          <w:rStyle w:val="Emphasis"/>
          <w:szCs w:val="24"/>
        </w:rPr>
        <w:t>x</w:t>
      </w:r>
      <w:r w:rsidR="005E70E9">
        <w:rPr>
          <w:rStyle w:val="Emphasis"/>
          <w:szCs w:val="24"/>
        </w:rPr>
        <w:t>panded</w:t>
      </w:r>
      <w:r>
        <w:rPr>
          <w:rStyle w:val="Emphasis"/>
          <w:szCs w:val="24"/>
        </w:rPr>
        <w:t xml:space="preserve"> appreciation of tumor biology and treatment decis</w:t>
      </w:r>
      <w:r w:rsidR="007237D8">
        <w:rPr>
          <w:rStyle w:val="Emphasis"/>
          <w:szCs w:val="24"/>
        </w:rPr>
        <w:t>ions and</w:t>
      </w:r>
      <w:r w:rsidR="00AC22A0">
        <w:rPr>
          <w:rStyle w:val="Emphasis"/>
          <w:szCs w:val="24"/>
        </w:rPr>
        <w:t xml:space="preserve"> thus</w:t>
      </w:r>
      <w:r w:rsidR="007237D8">
        <w:rPr>
          <w:rStyle w:val="Emphasis"/>
          <w:szCs w:val="24"/>
        </w:rPr>
        <w:t xml:space="preserve"> need to be integrated</w:t>
      </w:r>
      <w:r>
        <w:rPr>
          <w:rStyle w:val="Emphasis"/>
          <w:szCs w:val="24"/>
        </w:rPr>
        <w:t xml:space="preserve"> into the staging database to enhance prognostic evaluation and management deci</w:t>
      </w:r>
      <w:r w:rsidR="0069116C">
        <w:rPr>
          <w:rStyle w:val="Emphasis"/>
          <w:szCs w:val="24"/>
        </w:rPr>
        <w:t xml:space="preserve">sions. </w:t>
      </w:r>
    </w:p>
    <w:p w:rsidR="00856E84" w:rsidRDefault="00856E84" w:rsidP="00306C16">
      <w:pPr>
        <w:autoSpaceDE w:val="0"/>
        <w:autoSpaceDN w:val="0"/>
        <w:adjustRightInd w:val="0"/>
        <w:rPr>
          <w:rStyle w:val="Emphasis"/>
        </w:rPr>
      </w:pPr>
      <w:r>
        <w:rPr>
          <w:rStyle w:val="Emphasis"/>
          <w:szCs w:val="24"/>
        </w:rPr>
        <w:t xml:space="preserve">We have generated an algorithmic model based on clustering analysis </w:t>
      </w:r>
      <w:r w:rsidR="003A0FAB">
        <w:rPr>
          <w:rStyle w:val="Emphasis"/>
          <w:szCs w:val="24"/>
        </w:rPr>
        <w:t>that</w:t>
      </w:r>
      <w:r>
        <w:rPr>
          <w:rStyle w:val="Emphasis"/>
          <w:szCs w:val="24"/>
        </w:rPr>
        <w:t xml:space="preserve"> incorporate</w:t>
      </w:r>
      <w:r w:rsidR="003A0FAB">
        <w:rPr>
          <w:rStyle w:val="Emphasis"/>
          <w:szCs w:val="24"/>
        </w:rPr>
        <w:t>s</w:t>
      </w:r>
      <w:r>
        <w:rPr>
          <w:rStyle w:val="Emphasis"/>
          <w:szCs w:val="24"/>
        </w:rPr>
        <w:t xml:space="preserve"> these additional factors i</w:t>
      </w:r>
      <w:r w:rsidR="00D31D05">
        <w:rPr>
          <w:rStyle w:val="Emphasis"/>
          <w:szCs w:val="24"/>
        </w:rPr>
        <w:t>nto traditional TNM staging</w:t>
      </w:r>
      <w:r w:rsidR="007042E6">
        <w:rPr>
          <w:rStyle w:val="Emphasis"/>
          <w:szCs w:val="24"/>
        </w:rPr>
        <w:t>. (2</w:t>
      </w:r>
      <w:r w:rsidR="00BA5864">
        <w:rPr>
          <w:rStyle w:val="Emphasis"/>
          <w:szCs w:val="24"/>
        </w:rPr>
        <w:t>, 3</w:t>
      </w:r>
      <w:r w:rsidR="007042E6">
        <w:rPr>
          <w:rStyle w:val="Emphasis"/>
          <w:szCs w:val="24"/>
        </w:rPr>
        <w:t>)</w:t>
      </w:r>
      <w:r w:rsidR="00D31D05">
        <w:rPr>
          <w:rStyle w:val="Emphasis"/>
          <w:szCs w:val="24"/>
        </w:rPr>
        <w:t>.</w:t>
      </w:r>
      <w:r w:rsidR="003A1209">
        <w:rPr>
          <w:rStyle w:val="Emphasis"/>
          <w:szCs w:val="24"/>
        </w:rPr>
        <w:t xml:space="preserve"> </w:t>
      </w:r>
      <w:r w:rsidR="00D31D05">
        <w:rPr>
          <w:rStyle w:val="Emphasis"/>
          <w:szCs w:val="24"/>
        </w:rPr>
        <w:t xml:space="preserve"> Consequently, it </w:t>
      </w:r>
      <w:r>
        <w:rPr>
          <w:rStyle w:val="Emphasis"/>
          <w:szCs w:val="24"/>
        </w:rPr>
        <w:t>provide</w:t>
      </w:r>
      <w:r w:rsidR="003A0FAB">
        <w:rPr>
          <w:rStyle w:val="Emphasis"/>
          <w:szCs w:val="24"/>
        </w:rPr>
        <w:t>s</w:t>
      </w:r>
      <w:r>
        <w:rPr>
          <w:rStyle w:val="Emphasis"/>
          <w:szCs w:val="24"/>
        </w:rPr>
        <w:t xml:space="preserve"> for greater stratification of tumor stages and enhance</w:t>
      </w:r>
      <w:r w:rsidR="003A0FAB">
        <w:rPr>
          <w:rStyle w:val="Emphasis"/>
          <w:szCs w:val="24"/>
        </w:rPr>
        <w:t>s</w:t>
      </w:r>
      <w:r>
        <w:rPr>
          <w:rStyle w:val="Emphasis"/>
          <w:szCs w:val="24"/>
        </w:rPr>
        <w:t xml:space="preserve"> </w:t>
      </w:r>
      <w:r w:rsidR="004951BA">
        <w:rPr>
          <w:rStyle w:val="Emphasis"/>
          <w:szCs w:val="24"/>
        </w:rPr>
        <w:t xml:space="preserve">the </w:t>
      </w:r>
      <w:r>
        <w:rPr>
          <w:rStyle w:val="Emphasis"/>
          <w:szCs w:val="24"/>
        </w:rPr>
        <w:t>prog</w:t>
      </w:r>
      <w:r w:rsidR="00306C16">
        <w:rPr>
          <w:rStyle w:val="Emphasis"/>
          <w:szCs w:val="24"/>
        </w:rPr>
        <w:t>nostic assessments within</w:t>
      </w:r>
      <w:r>
        <w:rPr>
          <w:rStyle w:val="Emphasis"/>
          <w:szCs w:val="24"/>
        </w:rPr>
        <w:t xml:space="preserve"> </w:t>
      </w:r>
      <w:r w:rsidR="0095762B">
        <w:rPr>
          <w:rStyle w:val="Emphasis"/>
          <w:szCs w:val="24"/>
        </w:rPr>
        <w:t xml:space="preserve">reference to </w:t>
      </w:r>
      <w:r w:rsidR="00306C16">
        <w:rPr>
          <w:rStyle w:val="Emphasis"/>
          <w:szCs w:val="24"/>
        </w:rPr>
        <w:t xml:space="preserve">a </w:t>
      </w:r>
      <w:r w:rsidR="0069116C">
        <w:rPr>
          <w:rStyle w:val="Emphasis"/>
          <w:szCs w:val="24"/>
        </w:rPr>
        <w:t>gi</w:t>
      </w:r>
      <w:r w:rsidR="0069116C">
        <w:rPr>
          <w:rStyle w:val="Emphasis"/>
          <w:szCs w:val="24"/>
        </w:rPr>
        <w:t>v</w:t>
      </w:r>
      <w:r w:rsidR="0069116C">
        <w:rPr>
          <w:rStyle w:val="Emphasis"/>
          <w:szCs w:val="24"/>
        </w:rPr>
        <w:t>en ana</w:t>
      </w:r>
      <w:r w:rsidR="00347E05">
        <w:rPr>
          <w:rStyle w:val="Emphasis"/>
          <w:szCs w:val="24"/>
        </w:rPr>
        <w:t>tomic stage</w:t>
      </w:r>
      <w:r w:rsidR="0069116C">
        <w:rPr>
          <w:rStyle w:val="Emphasis"/>
          <w:szCs w:val="24"/>
        </w:rPr>
        <w:t>.</w:t>
      </w:r>
      <w:r>
        <w:rPr>
          <w:rStyle w:val="Emphasis"/>
          <w:szCs w:val="24"/>
        </w:rPr>
        <w:t xml:space="preserve"> The algorithm enables the clinician to appreciate and quantitate the effect of additional parameters on the traditional staging system.</w:t>
      </w:r>
      <w:r w:rsidR="002B4E33" w:rsidRPr="002B4E33">
        <w:rPr>
          <w:szCs w:val="24"/>
        </w:rPr>
        <w:t xml:space="preserve"> </w:t>
      </w:r>
      <w:r w:rsidR="00A51012">
        <w:rPr>
          <w:szCs w:val="24"/>
        </w:rPr>
        <w:t xml:space="preserve">In this </w:t>
      </w:r>
      <w:r w:rsidR="000F09EE">
        <w:rPr>
          <w:szCs w:val="24"/>
        </w:rPr>
        <w:t xml:space="preserve">communication, </w:t>
      </w:r>
      <w:r w:rsidR="000F09EE" w:rsidRPr="002B4E33">
        <w:rPr>
          <w:szCs w:val="24"/>
        </w:rPr>
        <w:t>we</w:t>
      </w:r>
      <w:r w:rsidR="002B4E33" w:rsidRPr="002B4E33">
        <w:rPr>
          <w:szCs w:val="24"/>
        </w:rPr>
        <w:t xml:space="preserve"> demon</w:t>
      </w:r>
      <w:r w:rsidR="00F778E1">
        <w:rPr>
          <w:szCs w:val="24"/>
        </w:rPr>
        <w:t>strate that integrating additional</w:t>
      </w:r>
      <w:r w:rsidR="002B4E33" w:rsidRPr="002B4E33">
        <w:rPr>
          <w:szCs w:val="24"/>
        </w:rPr>
        <w:t xml:space="preserve"> prognostic factors </w:t>
      </w:r>
      <w:r w:rsidR="00F778E1">
        <w:rPr>
          <w:szCs w:val="24"/>
        </w:rPr>
        <w:t>in</w:t>
      </w:r>
      <w:r w:rsidR="002B4E33" w:rsidRPr="002B4E33">
        <w:rPr>
          <w:szCs w:val="24"/>
        </w:rPr>
        <w:t>to the TNM can change the stratification of di</w:t>
      </w:r>
      <w:r w:rsidR="002B4E33" w:rsidRPr="002B4E33">
        <w:rPr>
          <w:szCs w:val="24"/>
        </w:rPr>
        <w:t>s</w:t>
      </w:r>
      <w:r w:rsidR="002B4E33" w:rsidRPr="002B4E33">
        <w:rPr>
          <w:szCs w:val="24"/>
        </w:rPr>
        <w:t>ease outcome, which has implications for the interpretation</w:t>
      </w:r>
      <w:r w:rsidR="001D7FAD">
        <w:rPr>
          <w:szCs w:val="24"/>
        </w:rPr>
        <w:t xml:space="preserve"> and conduct</w:t>
      </w:r>
      <w:r w:rsidR="002B4E33" w:rsidRPr="002B4E33">
        <w:rPr>
          <w:szCs w:val="24"/>
        </w:rPr>
        <w:t xml:space="preserve"> of clinical trials.</w:t>
      </w:r>
      <w:r w:rsidR="002B4E33">
        <w:rPr>
          <w:szCs w:val="24"/>
        </w:rPr>
        <w:t xml:space="preserve"> </w:t>
      </w:r>
      <w:r>
        <w:rPr>
          <w:rStyle w:val="Emphasis"/>
          <w:szCs w:val="24"/>
        </w:rPr>
        <w:t>For e</w:t>
      </w:r>
      <w:r>
        <w:rPr>
          <w:rStyle w:val="Emphasis"/>
          <w:szCs w:val="24"/>
        </w:rPr>
        <w:t>x</w:t>
      </w:r>
      <w:r>
        <w:rPr>
          <w:rStyle w:val="Emphasis"/>
          <w:szCs w:val="24"/>
        </w:rPr>
        <w:t>ample, the algorithm predicts that higher stage cancers with favorable pathologic and molecular features may show improved survival relative</w:t>
      </w:r>
      <w:r w:rsidR="00F778E1">
        <w:rPr>
          <w:rStyle w:val="Emphasis"/>
          <w:szCs w:val="24"/>
        </w:rPr>
        <w:t xml:space="preserve"> to lower stage tumors with less favorable</w:t>
      </w:r>
      <w:r>
        <w:rPr>
          <w:rStyle w:val="Emphasis"/>
          <w:szCs w:val="24"/>
        </w:rPr>
        <w:t xml:space="preserve"> path</w:t>
      </w:r>
      <w:r>
        <w:rPr>
          <w:rStyle w:val="Emphasis"/>
          <w:szCs w:val="24"/>
        </w:rPr>
        <w:t>o</w:t>
      </w:r>
      <w:r>
        <w:rPr>
          <w:rStyle w:val="Emphasis"/>
          <w:szCs w:val="24"/>
        </w:rPr>
        <w:t>logic and molecular profiles.</w:t>
      </w:r>
      <w:r w:rsidR="0069116C">
        <w:rPr>
          <w:rStyle w:val="Emphasis"/>
          <w:szCs w:val="24"/>
        </w:rPr>
        <w:t xml:space="preserve"> </w:t>
      </w:r>
    </w:p>
    <w:p w:rsidR="00424CC5" w:rsidRDefault="00856E84" w:rsidP="003A38BB">
      <w:pPr>
        <w:rPr>
          <w:rStyle w:val="Emphasis"/>
        </w:rPr>
      </w:pPr>
      <w:r w:rsidRPr="000029F1">
        <w:rPr>
          <w:rStyle w:val="Emphasis"/>
        </w:rPr>
        <w:lastRenderedPageBreak/>
        <w:t>For more than 50 years, the TNM has served as a standard classification for the anatomic e</w:t>
      </w:r>
      <w:r w:rsidRPr="000029F1">
        <w:rPr>
          <w:rStyle w:val="Emphasis"/>
        </w:rPr>
        <w:t>x</w:t>
      </w:r>
      <w:r w:rsidRPr="000029F1">
        <w:rPr>
          <w:rStyle w:val="Emphasis"/>
        </w:rPr>
        <w:t>tent of disease for patients w</w:t>
      </w:r>
      <w:r w:rsidR="007042E6">
        <w:rPr>
          <w:rStyle w:val="Emphasis"/>
        </w:rPr>
        <w:t>ith cancer</w:t>
      </w:r>
      <w:r w:rsidR="005A413A">
        <w:rPr>
          <w:rStyle w:val="Emphasis"/>
        </w:rPr>
        <w:t>.</w:t>
      </w:r>
      <w:r w:rsidR="007042E6">
        <w:rPr>
          <w:rStyle w:val="Emphasis"/>
        </w:rPr>
        <w:t>(</w:t>
      </w:r>
      <w:r w:rsidR="00347E05">
        <w:rPr>
          <w:rStyle w:val="Emphasis"/>
        </w:rPr>
        <w:t>4</w:t>
      </w:r>
      <w:r w:rsidR="007042E6">
        <w:rPr>
          <w:rStyle w:val="Emphasis"/>
        </w:rPr>
        <w:t>-</w:t>
      </w:r>
      <w:r w:rsidR="00347E05">
        <w:rPr>
          <w:rStyle w:val="Emphasis"/>
        </w:rPr>
        <w:t>9</w:t>
      </w:r>
      <w:r w:rsidRPr="000029F1">
        <w:rPr>
          <w:rStyle w:val="Emphasis"/>
        </w:rPr>
        <w:t>). Universally accepted, the TNM is actively promo</w:t>
      </w:r>
      <w:r w:rsidRPr="000029F1">
        <w:rPr>
          <w:rStyle w:val="Emphasis"/>
        </w:rPr>
        <w:t>t</w:t>
      </w:r>
      <w:r w:rsidRPr="000029F1">
        <w:rPr>
          <w:rStyle w:val="Emphasis"/>
        </w:rPr>
        <w:t xml:space="preserve">ed by professional organizations interested in cancer and results of treatment. However, </w:t>
      </w:r>
      <w:r w:rsidRPr="000029F1">
        <w:t xml:space="preserve">cancer is no longer </w:t>
      </w:r>
      <w:r>
        <w:t>solely characterized by anatomic</w:t>
      </w:r>
      <w:r w:rsidRPr="000029F1">
        <w:t xml:space="preserve"> extent of disease, but by a combination of </w:t>
      </w:r>
      <w:r>
        <w:t xml:space="preserve">host and biologic </w:t>
      </w:r>
      <w:r w:rsidR="003C4DB8">
        <w:t>factors</w:t>
      </w:r>
      <w:r w:rsidRPr="000029F1">
        <w:t xml:space="preserve">. </w:t>
      </w:r>
      <w:r w:rsidRPr="000029F1">
        <w:rPr>
          <w:rStyle w:val="Emphasis"/>
        </w:rPr>
        <w:t>Thus, it has become increasin</w:t>
      </w:r>
      <w:r w:rsidR="0095762B">
        <w:rPr>
          <w:rStyle w:val="Emphasis"/>
        </w:rPr>
        <w:t>gly apparent that the TNM needs to</w:t>
      </w:r>
      <w:r w:rsidRPr="000029F1">
        <w:rPr>
          <w:rStyle w:val="Emphasis"/>
        </w:rPr>
        <w:t xml:space="preserve"> be expanded to accommodate additional factors</w:t>
      </w:r>
      <w:r w:rsidR="0095762B">
        <w:rPr>
          <w:rStyle w:val="Emphasis"/>
        </w:rPr>
        <w:t>.</w:t>
      </w:r>
      <w:r w:rsidR="0069116C">
        <w:rPr>
          <w:rStyle w:val="Emphasis"/>
        </w:rPr>
        <w:t xml:space="preserve"> </w:t>
      </w:r>
      <w:r w:rsidR="0095762B">
        <w:rPr>
          <w:rStyle w:val="Emphasis"/>
        </w:rPr>
        <w:t>It is important to assess whether these factors</w:t>
      </w:r>
      <w:r w:rsidRPr="000029F1">
        <w:rPr>
          <w:rStyle w:val="Emphasis"/>
        </w:rPr>
        <w:t xml:space="preserve"> add benefit by providing more accurate estimati</w:t>
      </w:r>
      <w:r w:rsidR="003C4DB8">
        <w:rPr>
          <w:rStyle w:val="Emphasis"/>
        </w:rPr>
        <w:t>o</w:t>
      </w:r>
      <w:r w:rsidR="007042E6">
        <w:rPr>
          <w:rStyle w:val="Emphasis"/>
        </w:rPr>
        <w:t>ns of recurrence and death</w:t>
      </w:r>
      <w:r w:rsidR="005A413A">
        <w:rPr>
          <w:rStyle w:val="Emphasis"/>
        </w:rPr>
        <w:t>.</w:t>
      </w:r>
      <w:r w:rsidR="007042E6">
        <w:rPr>
          <w:rStyle w:val="Emphasis"/>
        </w:rPr>
        <w:t xml:space="preserve"> (</w:t>
      </w:r>
      <w:r w:rsidR="00347E05">
        <w:rPr>
          <w:rStyle w:val="Emphasis"/>
        </w:rPr>
        <w:t>9</w:t>
      </w:r>
      <w:r w:rsidR="007042E6">
        <w:rPr>
          <w:rStyle w:val="Emphasis"/>
        </w:rPr>
        <w:t>-1</w:t>
      </w:r>
      <w:r w:rsidR="00347E05">
        <w:rPr>
          <w:rStyle w:val="Emphasis"/>
        </w:rPr>
        <w:t>2</w:t>
      </w:r>
      <w:r w:rsidRPr="000029F1">
        <w:rPr>
          <w:rStyle w:val="Emphasis"/>
        </w:rPr>
        <w:t xml:space="preserve">). Any expansion, however, </w:t>
      </w:r>
      <w:r>
        <w:rPr>
          <w:rStyle w:val="Emphasis"/>
        </w:rPr>
        <w:t>should</w:t>
      </w:r>
      <w:r w:rsidRPr="000029F1">
        <w:rPr>
          <w:rStyle w:val="Emphasis"/>
        </w:rPr>
        <w:t xml:space="preserve"> preserve the TNM because of its long history in documenting disease exte</w:t>
      </w:r>
      <w:r w:rsidR="00224A58">
        <w:rPr>
          <w:rStyle w:val="Emphasis"/>
        </w:rPr>
        <w:t>nt in patients with can</w:t>
      </w:r>
      <w:r w:rsidR="007042E6">
        <w:rPr>
          <w:rStyle w:val="Emphasis"/>
        </w:rPr>
        <w:t>cer. (</w:t>
      </w:r>
      <w:proofErr w:type="gramStart"/>
      <w:r w:rsidR="003F6A12">
        <w:rPr>
          <w:rStyle w:val="Emphasis"/>
        </w:rPr>
        <w:t>7</w:t>
      </w:r>
      <w:proofErr w:type="gramEnd"/>
      <w:r w:rsidR="007042E6">
        <w:rPr>
          <w:rStyle w:val="Emphasis"/>
        </w:rPr>
        <w:t xml:space="preserve">, </w:t>
      </w:r>
      <w:r w:rsidR="00347E05">
        <w:rPr>
          <w:rStyle w:val="Emphasis"/>
        </w:rPr>
        <w:t>9</w:t>
      </w:r>
      <w:r w:rsidR="002B4E33">
        <w:rPr>
          <w:rStyle w:val="Emphasis"/>
        </w:rPr>
        <w:t>)</w:t>
      </w:r>
      <w:r w:rsidR="007042E6">
        <w:rPr>
          <w:rStyle w:val="Emphasis"/>
        </w:rPr>
        <w:t>.</w:t>
      </w:r>
      <w:r w:rsidR="00F35846">
        <w:rPr>
          <w:rStyle w:val="Emphasis"/>
        </w:rPr>
        <w:t xml:space="preserve"> </w:t>
      </w:r>
    </w:p>
    <w:p w:rsidR="000D3F28" w:rsidRDefault="000D3F28" w:rsidP="000D3F28">
      <w:pPr>
        <w:ind w:firstLine="0"/>
        <w:rPr>
          <w:rStyle w:val="Strong"/>
          <w:b/>
        </w:rPr>
      </w:pPr>
      <w:r w:rsidRPr="000D3F28">
        <w:rPr>
          <w:rStyle w:val="Strong"/>
          <w:b/>
        </w:rPr>
        <w:t>Materials and Methods</w:t>
      </w:r>
    </w:p>
    <w:p w:rsidR="0049691A" w:rsidRPr="0049691A" w:rsidRDefault="0049691A" w:rsidP="000D3F28">
      <w:pPr>
        <w:ind w:firstLine="0"/>
        <w:rPr>
          <w:rStyle w:val="Strong"/>
          <w:b/>
          <w:sz w:val="24"/>
          <w:szCs w:val="24"/>
        </w:rPr>
      </w:pPr>
      <w:r w:rsidRPr="0049691A">
        <w:rPr>
          <w:rStyle w:val="Strong"/>
          <w:b/>
          <w:sz w:val="24"/>
          <w:szCs w:val="24"/>
        </w:rPr>
        <w:t>Data Source</w:t>
      </w:r>
    </w:p>
    <w:p w:rsidR="00E56105" w:rsidRPr="00E56105" w:rsidRDefault="0049691A" w:rsidP="00E56105">
      <w:pPr>
        <w:rPr>
          <w:sz w:val="22"/>
          <w:szCs w:val="22"/>
        </w:rPr>
      </w:pPr>
      <w:r w:rsidRPr="0049691A">
        <w:t>The source of data was the file “Case Listings” in the SEER Program for breast cancer 1990-1998 to provide for 10 years of survival through 2008.</w:t>
      </w:r>
      <w:r>
        <w:t xml:space="preserve"> </w:t>
      </w:r>
      <w:r w:rsidR="00B020B5">
        <w:t>Lung can</w:t>
      </w:r>
      <w:r w:rsidR="007D12E2">
        <w:t xml:space="preserve">cer data </w:t>
      </w:r>
      <w:proofErr w:type="gramStart"/>
      <w:r w:rsidR="007D12E2">
        <w:t>were obtained</w:t>
      </w:r>
      <w:proofErr w:type="gramEnd"/>
      <w:r w:rsidR="007D12E2">
        <w:t xml:space="preserve"> from 1992 through 2001</w:t>
      </w:r>
      <w:r w:rsidR="00B020B5">
        <w:t xml:space="preserve"> to allow for 5 years of survival. </w:t>
      </w:r>
      <w:proofErr w:type="gramStart"/>
      <w:r w:rsidR="00E56105" w:rsidRPr="00E56105">
        <w:rPr>
          <w:sz w:val="22"/>
          <w:szCs w:val="22"/>
        </w:rPr>
        <w:t>A total of 273,231</w:t>
      </w:r>
      <w:proofErr w:type="gramEnd"/>
      <w:r w:rsidR="00E56105" w:rsidRPr="00E56105">
        <w:rPr>
          <w:sz w:val="22"/>
          <w:szCs w:val="22"/>
        </w:rPr>
        <w:t xml:space="preserve"> cases of invasive breast carcinoma were obtained</w:t>
      </w:r>
      <w:r w:rsidR="00B020B5">
        <w:rPr>
          <w:sz w:val="22"/>
          <w:szCs w:val="22"/>
        </w:rPr>
        <w:t xml:space="preserve"> and </w:t>
      </w:r>
      <w:r w:rsidR="00A90545">
        <w:rPr>
          <w:sz w:val="22"/>
          <w:szCs w:val="22"/>
        </w:rPr>
        <w:t xml:space="preserve">266,646 </w:t>
      </w:r>
      <w:r w:rsidR="00B020B5">
        <w:rPr>
          <w:sz w:val="22"/>
          <w:szCs w:val="22"/>
        </w:rPr>
        <w:t>cases of lung cancer</w:t>
      </w:r>
      <w:r w:rsidR="00E56105" w:rsidRPr="00E56105">
        <w:rPr>
          <w:sz w:val="22"/>
          <w:szCs w:val="22"/>
        </w:rPr>
        <w:t xml:space="preserve">. Cases with data missing in histological tumor type, </w:t>
      </w:r>
      <w:r w:rsidR="009E4CA7">
        <w:rPr>
          <w:sz w:val="22"/>
          <w:szCs w:val="22"/>
        </w:rPr>
        <w:t xml:space="preserve">histological </w:t>
      </w:r>
      <w:r w:rsidR="00E56105" w:rsidRPr="00E56105">
        <w:rPr>
          <w:sz w:val="22"/>
          <w:szCs w:val="22"/>
        </w:rPr>
        <w:t>grade, survival</w:t>
      </w:r>
      <w:r w:rsidR="00CE57D2">
        <w:rPr>
          <w:sz w:val="22"/>
          <w:szCs w:val="22"/>
        </w:rPr>
        <w:t xml:space="preserve"> </w:t>
      </w:r>
      <w:proofErr w:type="gramStart"/>
      <w:r w:rsidR="00CE57D2">
        <w:rPr>
          <w:sz w:val="22"/>
          <w:szCs w:val="22"/>
        </w:rPr>
        <w:t>time</w:t>
      </w:r>
      <w:proofErr w:type="gramEnd"/>
      <w:r w:rsidR="00CE57D2">
        <w:rPr>
          <w:sz w:val="22"/>
          <w:szCs w:val="22"/>
        </w:rPr>
        <w:t xml:space="preserve"> and vital status were</w:t>
      </w:r>
      <w:r w:rsidR="00E56105" w:rsidRPr="00E56105">
        <w:rPr>
          <w:sz w:val="22"/>
          <w:szCs w:val="22"/>
        </w:rPr>
        <w:t xml:space="preserve"> excluded. Inflammatory breast cancers and other T4 tumors </w:t>
      </w:r>
      <w:proofErr w:type="gramStart"/>
      <w:r w:rsidR="00E56105" w:rsidRPr="00E56105">
        <w:rPr>
          <w:sz w:val="22"/>
          <w:szCs w:val="22"/>
        </w:rPr>
        <w:t>were not considered</w:t>
      </w:r>
      <w:proofErr w:type="gramEnd"/>
      <w:r w:rsidR="00E56105" w:rsidRPr="00E56105">
        <w:rPr>
          <w:sz w:val="22"/>
          <w:szCs w:val="22"/>
        </w:rPr>
        <w:t xml:space="preserve"> in the analysis. Metastatic tumors to other visceral organs and sites </w:t>
      </w:r>
      <w:proofErr w:type="gramStart"/>
      <w:r w:rsidR="00E56105" w:rsidRPr="00E56105">
        <w:rPr>
          <w:sz w:val="22"/>
          <w:szCs w:val="22"/>
        </w:rPr>
        <w:t>were excluded</w:t>
      </w:r>
      <w:proofErr w:type="gramEnd"/>
      <w:r w:rsidR="00E56105" w:rsidRPr="00E56105">
        <w:rPr>
          <w:sz w:val="22"/>
          <w:szCs w:val="22"/>
        </w:rPr>
        <w:t xml:space="preserve"> and only M0 cancers were taken into account.</w:t>
      </w:r>
    </w:p>
    <w:p w:rsidR="00476C01" w:rsidRPr="00476C01" w:rsidRDefault="00476C01" w:rsidP="00476C01">
      <w:pPr>
        <w:ind w:firstLine="0"/>
        <w:rPr>
          <w:b/>
        </w:rPr>
      </w:pPr>
      <w:r w:rsidRPr="00476C01">
        <w:rPr>
          <w:b/>
        </w:rPr>
        <w:t>The Algorithm</w:t>
      </w:r>
    </w:p>
    <w:p w:rsidR="00856E84" w:rsidRDefault="001D56F1" w:rsidP="008A0BBA">
      <w:r w:rsidRPr="00BA5864">
        <w:t>Our</w:t>
      </w:r>
      <w:r w:rsidR="00856E84" w:rsidRPr="00BA5864">
        <w:t xml:space="preserve"> clustering algorithm</w:t>
      </w:r>
      <w:r w:rsidR="00BA5864" w:rsidRPr="00BA5864">
        <w:t xml:space="preserve"> </w:t>
      </w:r>
      <w:proofErr w:type="gramStart"/>
      <w:r w:rsidR="00BA5864" w:rsidRPr="00BA5864">
        <w:t>was</w:t>
      </w:r>
      <w:r w:rsidR="000F09EE">
        <w:t xml:space="preserve"> composed</w:t>
      </w:r>
      <w:proofErr w:type="gramEnd"/>
      <w:r w:rsidR="00802934" w:rsidRPr="00BA5864">
        <w:t xml:space="preserve"> in the programming </w:t>
      </w:r>
      <w:r w:rsidR="00611994" w:rsidRPr="00BA5864">
        <w:t>language</w:t>
      </w:r>
      <w:r w:rsidR="00802934" w:rsidRPr="00BA5864">
        <w:t xml:space="preserve"> </w:t>
      </w:r>
      <w:r w:rsidR="0067219E" w:rsidRPr="00BA5864">
        <w:t>“</w:t>
      </w:r>
      <w:r w:rsidR="00BA5864" w:rsidRPr="00BA5864">
        <w:t>R”</w:t>
      </w:r>
      <w:r w:rsidR="00EE172E">
        <w:t>, an open source code available on the Internet</w:t>
      </w:r>
      <w:r w:rsidR="00856E84" w:rsidRPr="00BA5864">
        <w:t>.</w:t>
      </w:r>
      <w:r w:rsidR="007042E6" w:rsidRPr="00BA5864">
        <w:t xml:space="preserve"> (</w:t>
      </w:r>
      <w:r w:rsidR="005A413A">
        <w:t>2</w:t>
      </w:r>
      <w:r w:rsidR="005A413A" w:rsidRPr="00BA5864">
        <w:t>, 3</w:t>
      </w:r>
      <w:r w:rsidR="001D7FAD" w:rsidRPr="00BA5864">
        <w:t>)</w:t>
      </w:r>
      <w:r w:rsidR="00856E84">
        <w:t xml:space="preserve"> </w:t>
      </w:r>
      <w:r w:rsidR="00802934">
        <w:t>It offers several advanta</w:t>
      </w:r>
      <w:r w:rsidR="00E639B8">
        <w:t>ges over the current TNM</w:t>
      </w:r>
      <w:r w:rsidR="00802934">
        <w:t xml:space="preserve"> in that it can integrate any num</w:t>
      </w:r>
      <w:r w:rsidR="007A3B02">
        <w:t>ber of prognos</w:t>
      </w:r>
      <w:r w:rsidR="00E60EF3">
        <w:t>tic factors</w:t>
      </w:r>
      <w:r w:rsidR="002A2466">
        <w:t>, including molecular markers</w:t>
      </w:r>
      <w:r w:rsidR="000F09EE">
        <w:t>, into</w:t>
      </w:r>
      <w:r w:rsidR="007A3B02">
        <w:t xml:space="preserve"> the TNM</w:t>
      </w:r>
      <w:r w:rsidR="00E639B8">
        <w:t>. The algorithm</w:t>
      </w:r>
      <w:r w:rsidR="007A3B02">
        <w:t>, however,</w:t>
      </w:r>
      <w:r w:rsidR="00802934">
        <w:t xml:space="preserve"> differs from </w:t>
      </w:r>
      <w:r w:rsidR="00E639B8">
        <w:t xml:space="preserve">the standard </w:t>
      </w:r>
      <w:r w:rsidR="00802934">
        <w:t>TNM</w:t>
      </w:r>
      <w:r w:rsidR="007A3B02">
        <w:t xml:space="preserve"> staging system</w:t>
      </w:r>
      <w:r w:rsidR="00802934">
        <w:t xml:space="preserve"> in the following ways</w:t>
      </w:r>
      <w:r w:rsidR="00E639B8">
        <w:t>. First, it</w:t>
      </w:r>
      <w:r w:rsidR="006D21D2" w:rsidRPr="00DE676B">
        <w:t xml:space="preserve"> </w:t>
      </w:r>
      <w:r w:rsidR="006D21D2">
        <w:t>calculates</w:t>
      </w:r>
      <w:r w:rsidR="006D21D2" w:rsidRPr="00DE676B">
        <w:t xml:space="preserve"> </w:t>
      </w:r>
      <w:r w:rsidR="00E639B8">
        <w:t xml:space="preserve">the </w:t>
      </w:r>
      <w:r w:rsidR="006D21D2" w:rsidRPr="00DE676B">
        <w:t>survival rates</w:t>
      </w:r>
      <w:r w:rsidR="00E80946">
        <w:t xml:space="preserve"> for </w:t>
      </w:r>
      <w:r w:rsidR="001E4E07">
        <w:t xml:space="preserve">every </w:t>
      </w:r>
      <w:r w:rsidR="006D21D2" w:rsidRPr="00DE676B">
        <w:t>combina</w:t>
      </w:r>
      <w:r w:rsidR="006D21D2">
        <w:t>tion</w:t>
      </w:r>
      <w:r w:rsidR="006D21D2" w:rsidRPr="00DE676B">
        <w:t xml:space="preserve"> of prognostic factors</w:t>
      </w:r>
      <w:r w:rsidR="006D21D2">
        <w:t xml:space="preserve"> in any order</w:t>
      </w:r>
      <w:r w:rsidR="006D21D2" w:rsidRPr="00DE676B">
        <w:t xml:space="preserve"> and pr</w:t>
      </w:r>
      <w:r w:rsidR="006D21D2" w:rsidRPr="00DE676B">
        <w:t>o</w:t>
      </w:r>
      <w:r w:rsidR="006D21D2" w:rsidRPr="00DE676B">
        <w:lastRenderedPageBreak/>
        <w:t>vide</w:t>
      </w:r>
      <w:r w:rsidR="006D21D2">
        <w:t>s</w:t>
      </w:r>
      <w:r w:rsidR="006D21D2" w:rsidRPr="00DE676B">
        <w:t xml:space="preserve"> a relationship between survival and </w:t>
      </w:r>
      <w:r w:rsidR="006D21D2">
        <w:t xml:space="preserve">the </w:t>
      </w:r>
      <w:r w:rsidR="00CE5815">
        <w:t>factors.</w:t>
      </w:r>
      <w:r w:rsidR="008D5D90">
        <w:t xml:space="preserve"> If, for example, there are</w:t>
      </w:r>
      <w:r w:rsidR="004A0440">
        <w:t xml:space="preserve"> 4 T categories, 3</w:t>
      </w:r>
      <w:r w:rsidR="008D5D90">
        <w:t xml:space="preserve"> N categories, and 3 grades</w:t>
      </w:r>
      <w:r w:rsidR="009F79E7">
        <w:t xml:space="preserve"> </w:t>
      </w:r>
      <w:r w:rsidR="00224C4F">
        <w:t xml:space="preserve">selected </w:t>
      </w:r>
      <w:r w:rsidR="009F79E7">
        <w:t xml:space="preserve">for </w:t>
      </w:r>
      <w:r w:rsidR="008D5D90">
        <w:t xml:space="preserve">breast cancer, </w:t>
      </w:r>
      <w:r w:rsidR="009F79E7">
        <w:t xml:space="preserve">then </w:t>
      </w:r>
      <w:r w:rsidR="008D5D90">
        <w:t xml:space="preserve">there will be </w:t>
      </w:r>
      <w:r w:rsidR="004A0440">
        <w:t>36</w:t>
      </w:r>
      <w:r w:rsidR="008D5D90">
        <w:t xml:space="preserve"> </w:t>
      </w:r>
      <w:r w:rsidR="004A0440">
        <w:t>(4x3x3</w:t>
      </w:r>
      <w:r w:rsidR="008D5D90">
        <w:t>) combinati</w:t>
      </w:r>
      <w:r w:rsidR="004A0440">
        <w:t>ons of prognostic factors and 36</w:t>
      </w:r>
      <w:r w:rsidR="008D5D90">
        <w:t xml:space="preserve"> survival curves.</w:t>
      </w:r>
      <w:r w:rsidR="00CE5815">
        <w:t xml:space="preserve"> </w:t>
      </w:r>
      <w:r w:rsidR="009F79E7">
        <w:t xml:space="preserve">Second, </w:t>
      </w:r>
      <w:r w:rsidR="001D5715">
        <w:t xml:space="preserve">by </w:t>
      </w:r>
      <w:r w:rsidR="00E639B8">
        <w:t xml:space="preserve">comparing and </w:t>
      </w:r>
      <w:r w:rsidR="001D5715">
        <w:t>combining clusters</w:t>
      </w:r>
      <w:r w:rsidR="00A51012">
        <w:t xml:space="preserve"> </w:t>
      </w:r>
      <w:r w:rsidR="000F09EE">
        <w:t>of prognostic</w:t>
      </w:r>
      <w:r w:rsidR="00A51012">
        <w:t xml:space="preserve"> variable and disease outcome</w:t>
      </w:r>
      <w:r w:rsidR="001D5715">
        <w:t xml:space="preserve">, </w:t>
      </w:r>
      <w:r w:rsidR="009F79E7">
        <w:t>the algorithm can</w:t>
      </w:r>
      <w:r w:rsidR="009F79E7" w:rsidRPr="009F79E7">
        <w:t xml:space="preserve"> aggregate a larger number of a su</w:t>
      </w:r>
      <w:r w:rsidR="009F79E7" w:rsidRPr="009F79E7">
        <w:t>r</w:t>
      </w:r>
      <w:r w:rsidR="009F79E7" w:rsidRPr="009F79E7">
        <w:t>vival rates into a</w:t>
      </w:r>
      <w:r w:rsidR="009F79E7" w:rsidRPr="009F79E7">
        <w:rPr>
          <w:b/>
        </w:rPr>
        <w:t xml:space="preserve"> </w:t>
      </w:r>
      <w:r w:rsidR="009F79E7" w:rsidRPr="009F79E7">
        <w:t>smaller num</w:t>
      </w:r>
      <w:r w:rsidR="00A51012">
        <w:t>ber of more comparable</w:t>
      </w:r>
      <w:r w:rsidR="009F79E7" w:rsidRPr="009F79E7">
        <w:t xml:space="preserve"> groups.</w:t>
      </w:r>
      <w:r w:rsidR="002A2466" w:rsidRPr="002A2466">
        <w:t xml:space="preserve"> For instance, the 36 survival rates </w:t>
      </w:r>
      <w:proofErr w:type="gramStart"/>
      <w:r w:rsidR="002A2466" w:rsidRPr="002A2466">
        <w:t>could be agg</w:t>
      </w:r>
      <w:r w:rsidR="002A2466">
        <w:t>regated</w:t>
      </w:r>
      <w:proofErr w:type="gramEnd"/>
      <w:r w:rsidR="002A2466">
        <w:t xml:space="preserve"> into </w:t>
      </w:r>
      <w:r w:rsidR="000F09EE">
        <w:t>four</w:t>
      </w:r>
      <w:r w:rsidR="002A2466">
        <w:t xml:space="preserve"> stage groupings</w:t>
      </w:r>
      <w:r w:rsidR="00180959">
        <w:t xml:space="preserve"> by differences in survival rates</w:t>
      </w:r>
      <w:r w:rsidR="002A2466">
        <w:t xml:space="preserve">. </w:t>
      </w:r>
      <w:r w:rsidR="009F79E7" w:rsidRPr="009F79E7">
        <w:t xml:space="preserve">Fundamentally, this represents </w:t>
      </w:r>
      <w:r w:rsidR="004A0440" w:rsidRPr="009F79E7">
        <w:t>collapsing the</w:t>
      </w:r>
      <w:r w:rsidR="009F79E7" w:rsidRPr="009F79E7">
        <w:t xml:space="preserve"> survival rates into a staging system in</w:t>
      </w:r>
      <w:r w:rsidR="006E516B">
        <w:t>stead of the individual TNM variables, wh</w:t>
      </w:r>
      <w:r w:rsidR="00272099">
        <w:t xml:space="preserve">ich is the current practice. This </w:t>
      </w:r>
      <w:r w:rsidR="00A51012">
        <w:t xml:space="preserve">clustering procedure </w:t>
      </w:r>
      <w:r w:rsidR="006E516B">
        <w:t xml:space="preserve">circumvents </w:t>
      </w:r>
      <w:r w:rsidR="008D5D90" w:rsidRPr="008D5D90">
        <w:t xml:space="preserve">the </w:t>
      </w:r>
      <w:r w:rsidR="005C54AE">
        <w:t xml:space="preserve">limitation on the </w:t>
      </w:r>
      <w:r w:rsidR="008D5D90" w:rsidRPr="008D5D90">
        <w:t>number of factors that can be integrated into the TNM</w:t>
      </w:r>
      <w:r w:rsidR="008D5D90">
        <w:t xml:space="preserve">. </w:t>
      </w:r>
      <w:r w:rsidR="00E639B8">
        <w:t>Third, t</w:t>
      </w:r>
      <w:r w:rsidR="006D21D2" w:rsidRPr="00241A29">
        <w:t>he effect of any factor</w:t>
      </w:r>
      <w:r w:rsidR="00E639B8">
        <w:t xml:space="preserve"> or </w:t>
      </w:r>
      <w:r w:rsidR="0062468E">
        <w:t xml:space="preserve">any combination of </w:t>
      </w:r>
      <w:r w:rsidR="00E639B8">
        <w:t>factors</w:t>
      </w:r>
      <w:r w:rsidR="006D21D2">
        <w:t xml:space="preserve"> on outcome</w:t>
      </w:r>
      <w:r w:rsidR="006D21D2" w:rsidRPr="00241A29">
        <w:t xml:space="preserve"> </w:t>
      </w:r>
      <w:r w:rsidR="006D21D2">
        <w:t>can be</w:t>
      </w:r>
      <w:r w:rsidR="006D21D2" w:rsidRPr="00241A29">
        <w:t xml:space="preserve"> evaluated</w:t>
      </w:r>
      <w:r w:rsidR="004A0440">
        <w:t xml:space="preserve">. </w:t>
      </w:r>
      <w:r w:rsidR="00E639B8">
        <w:t>Fourth</w:t>
      </w:r>
      <w:r w:rsidR="006D21D2">
        <w:t xml:space="preserve">, </w:t>
      </w:r>
      <w:r w:rsidR="00856E84">
        <w:t>it takes into account</w:t>
      </w:r>
      <w:r w:rsidR="00856E84" w:rsidRPr="00241A29">
        <w:t xml:space="preserve"> censored su</w:t>
      </w:r>
      <w:r w:rsidR="00856E84" w:rsidRPr="00241A29">
        <w:t>r</w:t>
      </w:r>
      <w:r w:rsidR="00856E84" w:rsidRPr="00241A29">
        <w:t xml:space="preserve">vival times of cancer patients. This </w:t>
      </w:r>
      <w:r w:rsidR="00856E84">
        <w:t xml:space="preserve">is in contrast to </w:t>
      </w:r>
      <w:r w:rsidR="00856E84" w:rsidRPr="00241A29">
        <w:t>tradi</w:t>
      </w:r>
      <w:r w:rsidR="00856E84">
        <w:t>tional algorithms</w:t>
      </w:r>
      <w:r w:rsidR="00856E84" w:rsidRPr="00241A29">
        <w:t xml:space="preserve"> </w:t>
      </w:r>
      <w:r w:rsidR="00856E84">
        <w:t xml:space="preserve">for clustering data that </w:t>
      </w:r>
      <w:r w:rsidR="00856E84" w:rsidRPr="00241A29">
        <w:t>cannot be direc</w:t>
      </w:r>
      <w:r w:rsidR="00856E84">
        <w:t>tly applied to censored data</w:t>
      </w:r>
      <w:r w:rsidR="00E639B8">
        <w:t xml:space="preserve">. </w:t>
      </w:r>
      <w:r w:rsidR="00856E84">
        <w:t>F</w:t>
      </w:r>
      <w:r w:rsidR="00856E84" w:rsidRPr="00241A29">
        <w:t xml:space="preserve">inally, </w:t>
      </w:r>
      <w:r w:rsidR="00846122">
        <w:t xml:space="preserve">and most importantly, </w:t>
      </w:r>
      <w:r w:rsidR="00856E84">
        <w:t>the</w:t>
      </w:r>
      <w:r w:rsidR="00856E84" w:rsidRPr="00D5026E">
        <w:t xml:space="preserve"> </w:t>
      </w:r>
      <w:r w:rsidR="00856E84">
        <w:t xml:space="preserve">algorithm does </w:t>
      </w:r>
      <w:r w:rsidR="00856E84" w:rsidRPr="00241A29">
        <w:t>not change the TNM definition</w:t>
      </w:r>
      <w:r w:rsidR="00856E84">
        <w:t>s, thus preserving traditional TNM classification schemes.</w:t>
      </w:r>
      <w:r w:rsidR="00220CBE">
        <w:t xml:space="preserve">  The r</w:t>
      </w:r>
      <w:r w:rsidR="00220CBE">
        <w:t>e</w:t>
      </w:r>
      <w:r w:rsidR="00CD6DD9">
        <w:t>sults of the algorithm have</w:t>
      </w:r>
      <w:r w:rsidR="00220CBE">
        <w:t xml:space="preserve"> been validated within the SEER database by analyzing and comparing the output</w:t>
      </w:r>
      <w:r w:rsidR="00CD6DD9">
        <w:t>s</w:t>
      </w:r>
      <w:r w:rsidR="00220CBE">
        <w:t xml:space="preserve"> for different range of year cohorts and appreciating that the discriminatory features are maintained.  The </w:t>
      </w:r>
      <w:r w:rsidR="00CD6DD9">
        <w:t>results also demonstrate an</w:t>
      </w:r>
      <w:r w:rsidR="007F37C7">
        <w:t xml:space="preserve"> internal consistency when comparing larger and smaller cohorts of input prognostic variable on TNM survival.</w:t>
      </w:r>
      <w:r w:rsidR="00F35846">
        <w:t xml:space="preserve"> </w:t>
      </w:r>
      <w:r w:rsidR="007C24FD">
        <w:t>Although not demonstrated, the algorithm also calculates the hazard.</w:t>
      </w:r>
    </w:p>
    <w:p w:rsidR="00166674" w:rsidRPr="00166674" w:rsidRDefault="00166674" w:rsidP="00166674">
      <w:pPr>
        <w:ind w:firstLine="0"/>
        <w:rPr>
          <w:rStyle w:val="Strong"/>
          <w:b/>
        </w:rPr>
      </w:pPr>
      <w:r w:rsidRPr="00166674">
        <w:rPr>
          <w:rStyle w:val="Strong"/>
          <w:b/>
        </w:rPr>
        <w:t>Results</w:t>
      </w:r>
    </w:p>
    <w:p w:rsidR="00185B54" w:rsidRDefault="00CF05B4" w:rsidP="008A0BBA">
      <w:r>
        <w:t xml:space="preserve">The algorithm was extensively evaluated using data from the SEER Program of the National Cancer Institute because </w:t>
      </w:r>
      <w:r w:rsidR="00185B54">
        <w:t>of its</w:t>
      </w:r>
      <w:r>
        <w:t xml:space="preserve"> large size</w:t>
      </w:r>
      <w:r w:rsidR="00A51012">
        <w:t xml:space="preserve"> of clinical cases and outcomes</w:t>
      </w:r>
      <w:r>
        <w:t xml:space="preserve">. </w:t>
      </w:r>
      <w:r w:rsidR="007F37C7">
        <w:t xml:space="preserve">While </w:t>
      </w:r>
      <w:r w:rsidR="000F09EE">
        <w:t>SEER does not specify treatment protocols</w:t>
      </w:r>
      <w:r w:rsidR="00185B54">
        <w:t>, treatment information can be incorporated into the algorithm</w:t>
      </w:r>
      <w:r w:rsidR="00ED4536">
        <w:t xml:space="preserve"> if available</w:t>
      </w:r>
      <w:r w:rsidR="00185B54">
        <w:t xml:space="preserve">. Presumably, nearly </w:t>
      </w:r>
      <w:r w:rsidR="00693E81">
        <w:t>all pa</w:t>
      </w:r>
      <w:r w:rsidR="007F37C7">
        <w:t xml:space="preserve">tients listed in SEER have </w:t>
      </w:r>
      <w:r w:rsidR="00185B54">
        <w:t xml:space="preserve">been treated. </w:t>
      </w:r>
    </w:p>
    <w:p w:rsidR="00087B11" w:rsidRDefault="00856E84" w:rsidP="008A0BBA">
      <w:r w:rsidRPr="00C36E0A">
        <w:lastRenderedPageBreak/>
        <w:t>A</w:t>
      </w:r>
      <w:r>
        <w:t xml:space="preserve">ssessing the output of the clustering algorithm with </w:t>
      </w:r>
      <w:r w:rsidRPr="00C36E0A">
        <w:t xml:space="preserve">prognostic factors </w:t>
      </w:r>
      <w:r>
        <w:t xml:space="preserve">on </w:t>
      </w:r>
      <w:r w:rsidRPr="00C36E0A">
        <w:t>TNM</w:t>
      </w:r>
      <w:r>
        <w:t xml:space="preserve"> design</w:t>
      </w:r>
      <w:r>
        <w:t>a</w:t>
      </w:r>
      <w:r>
        <w:t>tion</w:t>
      </w:r>
      <w:r w:rsidRPr="00C36E0A">
        <w:t xml:space="preserve"> </w:t>
      </w:r>
      <w:r w:rsidR="00166674">
        <w:t>provided</w:t>
      </w:r>
      <w:r>
        <w:t xml:space="preserve"> additional insight </w:t>
      </w:r>
      <w:r w:rsidR="00D54766">
        <w:t>for</w:t>
      </w:r>
      <w:r>
        <w:t xml:space="preserve"> survival </w:t>
      </w:r>
      <w:r w:rsidR="00087B11">
        <w:t>with clinical implications</w:t>
      </w:r>
      <w:r w:rsidR="00326922">
        <w:t xml:space="preserve"> </w:t>
      </w:r>
      <w:r w:rsidRPr="00F739C6">
        <w:t xml:space="preserve">(Figures 1 &amp; 2). </w:t>
      </w:r>
      <w:r>
        <w:t xml:space="preserve">Breast </w:t>
      </w:r>
      <w:r w:rsidR="00CE64B9">
        <w:t>cancer cohorts with Stage T2N2</w:t>
      </w:r>
      <w:r>
        <w:t xml:space="preserve"> have a defined survival pattern (Figure 1A), but clearly repr</w:t>
      </w:r>
      <w:r>
        <w:t>e</w:t>
      </w:r>
      <w:r>
        <w:t>sent a family of tumors with a spectrum of histologic grade</w:t>
      </w:r>
      <w:r w:rsidR="00817200">
        <w:t>s</w:t>
      </w:r>
      <w:r>
        <w:t>, hormonal status, and other host and tumor characteristics.</w:t>
      </w:r>
      <w:r w:rsidR="0069116C">
        <w:t xml:space="preserve"> </w:t>
      </w:r>
      <w:r>
        <w:t xml:space="preserve">The survival curves </w:t>
      </w:r>
      <w:r w:rsidR="00CE64B9">
        <w:t xml:space="preserve">separate markedly when grade and </w:t>
      </w:r>
      <w:r>
        <w:t>ER (estrogen r</w:t>
      </w:r>
      <w:r>
        <w:t>e</w:t>
      </w:r>
      <w:r>
        <w:t xml:space="preserve">ceptor) status </w:t>
      </w:r>
      <w:r w:rsidR="00087B11">
        <w:t>are integrated into the TNM.</w:t>
      </w:r>
    </w:p>
    <w:p w:rsidR="00856E84" w:rsidRDefault="00CE64B9" w:rsidP="008A0BBA">
      <w:r>
        <w:t xml:space="preserve"> </w:t>
      </w:r>
      <w:r w:rsidR="00326922">
        <w:t>In Figure 1A, a</w:t>
      </w:r>
      <w:r w:rsidR="00856E84">
        <w:t>ll the curves represent tumor</w:t>
      </w:r>
      <w:r w:rsidR="000226D9">
        <w:t>s</w:t>
      </w:r>
      <w:r w:rsidR="00856E84">
        <w:t xml:space="preserve"> that are T2N2, yet the absolute survival diffe</w:t>
      </w:r>
      <w:r w:rsidR="00856E84">
        <w:t>r</w:t>
      </w:r>
      <w:r w:rsidR="00856E84">
        <w:t>ence between the</w:t>
      </w:r>
      <w:r w:rsidR="00220CBE">
        <w:t xml:space="preserve"> subgroups exceeds 0.4 despite</w:t>
      </w:r>
      <w:r w:rsidR="00856E84">
        <w:t xml:space="preserve"> t</w:t>
      </w:r>
      <w:r w:rsidR="00916150">
        <w:t xml:space="preserve">he identical </w:t>
      </w:r>
      <w:r w:rsidR="00220CBE">
        <w:t xml:space="preserve">TNM </w:t>
      </w:r>
      <w:r w:rsidR="00916150">
        <w:t xml:space="preserve">tumor </w:t>
      </w:r>
      <w:r w:rsidR="00220CBE">
        <w:t>stage.  The result is that l</w:t>
      </w:r>
      <w:r w:rsidR="00916150">
        <w:t>ess favorable</w:t>
      </w:r>
      <w:r w:rsidR="00856E84">
        <w:t xml:space="preserve"> prognostic</w:t>
      </w:r>
      <w:r w:rsidR="0095762B">
        <w:t xml:space="preserve"> tumors may have a 50% decreased </w:t>
      </w:r>
      <w:r w:rsidR="00856E84">
        <w:t xml:space="preserve">survival </w:t>
      </w:r>
      <w:r w:rsidR="0095762B">
        <w:t xml:space="preserve">relative </w:t>
      </w:r>
      <w:r w:rsidR="00856E84">
        <w:t>to bet</w:t>
      </w:r>
      <w:r w:rsidR="0095762B">
        <w:t xml:space="preserve">ter </w:t>
      </w:r>
      <w:r w:rsidR="00856E84">
        <w:t>t</w:t>
      </w:r>
      <w:r w:rsidR="00856E84">
        <w:t>u</w:t>
      </w:r>
      <w:r w:rsidR="00856E84">
        <w:t>mors</w:t>
      </w:r>
      <w:r w:rsidR="0095762B">
        <w:t xml:space="preserve"> with favorable prognostic indicators</w:t>
      </w:r>
      <w:r w:rsidR="00220CBE">
        <w:t xml:space="preserve"> within the same TNM stage</w:t>
      </w:r>
      <w:r w:rsidR="00856E84">
        <w:t>.</w:t>
      </w:r>
      <w:r w:rsidR="0069116C">
        <w:t xml:space="preserve"> </w:t>
      </w:r>
      <w:r w:rsidR="00856E84">
        <w:t>One can clearly apprec</w:t>
      </w:r>
      <w:r w:rsidR="00856E84">
        <w:t>i</w:t>
      </w:r>
      <w:r w:rsidR="00856E84">
        <w:t>ate that if a similar approach were taken for T1N1, then favorable prognosis T2N2 tumors would have an improved survival relative to poor prognostic T1N1 tumors.</w:t>
      </w:r>
      <w:r w:rsidR="0069116C">
        <w:t xml:space="preserve"> </w:t>
      </w:r>
      <w:r w:rsidR="00856E84">
        <w:t>This shift has implications for the conduct and interpretation of clinical trials.</w:t>
      </w:r>
      <w:r w:rsidR="0069116C">
        <w:t xml:space="preserve"> </w:t>
      </w:r>
      <w:r w:rsidR="00856E84">
        <w:t>In the presence of significant nodal involv</w:t>
      </w:r>
      <w:r w:rsidR="00856E84">
        <w:t>e</w:t>
      </w:r>
      <w:r w:rsidR="00856E84">
        <w:t>ment, T1N2 tumors, the comparative stratification of tumors according to histologic grade pr</w:t>
      </w:r>
      <w:r w:rsidR="00856E84">
        <w:t>o</w:t>
      </w:r>
      <w:r w:rsidR="00856E84">
        <w:t>vides meaningful separation of survival outcomes (Figure 1B).</w:t>
      </w:r>
      <w:r w:rsidR="0069116C">
        <w:t xml:space="preserve"> </w:t>
      </w:r>
      <w:r w:rsidR="00856E84">
        <w:t>The confidence interval is i</w:t>
      </w:r>
      <w:r w:rsidR="00856E84">
        <w:t>n</w:t>
      </w:r>
      <w:r w:rsidR="00856E84">
        <w:t xml:space="preserve">versely proportional to the number of SEER identifiable </w:t>
      </w:r>
      <w:r w:rsidR="001D2076">
        <w:t>cases;</w:t>
      </w:r>
      <w:r w:rsidR="00856E84">
        <w:t xml:space="preserve"> however, there exists statistical relevant stratification among the tumor grades even </w:t>
      </w:r>
      <w:r w:rsidR="00916150">
        <w:t xml:space="preserve">at </w:t>
      </w:r>
      <w:r w:rsidR="00856E84">
        <w:t>an advanced breast cancer stage.</w:t>
      </w:r>
    </w:p>
    <w:p w:rsidR="00CA4338" w:rsidRDefault="00856E84" w:rsidP="00CA4338">
      <w:r>
        <w:t>The same pattern may be shown to exist for lung cancers (Figure 2).</w:t>
      </w:r>
      <w:r w:rsidR="0069116C">
        <w:t xml:space="preserve"> </w:t>
      </w:r>
      <w:r>
        <w:t>Favorable Stage I t</w:t>
      </w:r>
      <w:r>
        <w:t>u</w:t>
      </w:r>
      <w:r>
        <w:t>mors of the lung (T1N0) may be stratified according to grade with a wide resultant survival pa</w:t>
      </w:r>
      <w:r>
        <w:t>t</w:t>
      </w:r>
      <w:r>
        <w:t>tern at 5 years. Additional factors may be considered and may demonstrate additional upward or downward shift indicative of an important prognostic variable.</w:t>
      </w:r>
      <w:r w:rsidR="0069116C">
        <w:t xml:space="preserve"> </w:t>
      </w:r>
      <w:r w:rsidR="007A0380">
        <w:t>Favorable limited stage tumors may b</w:t>
      </w:r>
      <w:r w:rsidR="0019719F">
        <w:t>e treat</w:t>
      </w:r>
      <w:r w:rsidR="007A0380">
        <w:t>ed with resection alone, whereas, unfavorable survival</w:t>
      </w:r>
      <w:r w:rsidR="007A0380" w:rsidRPr="007A0380">
        <w:t xml:space="preserve"> </w:t>
      </w:r>
      <w:r w:rsidR="007A0380">
        <w:t>statistics, similar to more a</w:t>
      </w:r>
      <w:r w:rsidR="007A0380">
        <w:t>d</w:t>
      </w:r>
      <w:r w:rsidR="007A0380">
        <w:t>vanced cancers, may suggest cases for clinical trial considerations.</w:t>
      </w:r>
      <w:r w:rsidR="0069116C">
        <w:t xml:space="preserve"> </w:t>
      </w:r>
      <w:r w:rsidR="007A0380">
        <w:t xml:space="preserve">In assessing </w:t>
      </w:r>
      <w:r w:rsidR="003757EC">
        <w:t>factors, which</w:t>
      </w:r>
      <w:r w:rsidR="007A0380">
        <w:t xml:space="preserve"> </w:t>
      </w:r>
      <w:r w:rsidR="00F61B49">
        <w:t xml:space="preserve">do </w:t>
      </w:r>
      <w:r w:rsidR="00F61B49">
        <w:lastRenderedPageBreak/>
        <w:t>not produce</w:t>
      </w:r>
      <w:r w:rsidR="007A0380">
        <w:t xml:space="preserve"> </w:t>
      </w:r>
      <w:r>
        <w:t>a significant change in the survival plot</w:t>
      </w:r>
      <w:r w:rsidR="007A0380">
        <w:t xml:space="preserve">, it is clear that these represent </w:t>
      </w:r>
      <w:r>
        <w:t>redundant</w:t>
      </w:r>
      <w:r w:rsidR="000A6559">
        <w:t>,</w:t>
      </w:r>
      <w:r>
        <w:t xml:space="preserve"> non-informative </w:t>
      </w:r>
      <w:r w:rsidR="007A0380">
        <w:t xml:space="preserve">prognostic </w:t>
      </w:r>
      <w:r>
        <w:t>variable</w:t>
      </w:r>
      <w:r w:rsidR="007A0380">
        <w:t>s</w:t>
      </w:r>
      <w:r>
        <w:t>.</w:t>
      </w:r>
      <w:r w:rsidR="00CA4338">
        <w:t xml:space="preserve"> </w:t>
      </w:r>
      <w:r w:rsidR="00CA4338" w:rsidRPr="00CA4338">
        <w:t xml:space="preserve">Although the data are not shown, changes in survival </w:t>
      </w:r>
      <w:r w:rsidR="00CA4338">
        <w:t xml:space="preserve">rates </w:t>
      </w:r>
      <w:r w:rsidR="00CA4338" w:rsidRPr="00CA4338">
        <w:t>were also noted with other prognostic variables such as age, racial/ethnic background, and hist</w:t>
      </w:r>
      <w:r w:rsidR="00CA4338" w:rsidRPr="00CA4338">
        <w:t>o</w:t>
      </w:r>
      <w:r w:rsidR="00CA4338" w:rsidRPr="00CA4338">
        <w:t>logical tumor type.</w:t>
      </w:r>
      <w:r w:rsidR="00EE172E">
        <w:t xml:space="preserve"> It seems therefore that survival rates are relative and depend on the selection of prognostic factors.</w:t>
      </w:r>
      <w:r w:rsidR="00F35846">
        <w:t xml:space="preserve"> </w:t>
      </w:r>
    </w:p>
    <w:p w:rsidR="002B4D39" w:rsidRPr="002B4D39" w:rsidRDefault="002B4D39" w:rsidP="002B4D39">
      <w:pPr>
        <w:ind w:firstLine="0"/>
        <w:rPr>
          <w:rStyle w:val="Strong"/>
          <w:b/>
        </w:rPr>
      </w:pPr>
      <w:r w:rsidRPr="002B4D39">
        <w:rPr>
          <w:rStyle w:val="Strong"/>
          <w:b/>
        </w:rPr>
        <w:t>Discussion</w:t>
      </w:r>
    </w:p>
    <w:p w:rsidR="00F35846" w:rsidRDefault="00856E84" w:rsidP="00FE378A">
      <w:r>
        <w:t>The implications of these findings are clear when generating comparative cohorts for clin</w:t>
      </w:r>
      <w:r>
        <w:t>i</w:t>
      </w:r>
      <w:r>
        <w:t>cal trials.</w:t>
      </w:r>
      <w:r w:rsidR="0069116C">
        <w:t xml:space="preserve"> </w:t>
      </w:r>
      <w:r w:rsidRPr="00BA5864">
        <w:t>Cohort designation of tumor stage, despite randomization, may include a variety of pro</w:t>
      </w:r>
      <w:r w:rsidR="00CC77A2" w:rsidRPr="00BA5864">
        <w:t>gnostic subgroups that impact</w:t>
      </w:r>
      <w:r w:rsidRPr="00BA5864">
        <w:t xml:space="preserve"> survival even in the absence of treatment.</w:t>
      </w:r>
      <w:r w:rsidR="0069116C" w:rsidRPr="00BA5864">
        <w:t xml:space="preserve"> </w:t>
      </w:r>
      <w:r w:rsidRPr="00BA5864">
        <w:t>An uneven and u</w:t>
      </w:r>
      <w:r w:rsidRPr="00BA5864">
        <w:t>n</w:t>
      </w:r>
      <w:r w:rsidRPr="00BA5864">
        <w:t xml:space="preserve">known distribution of these prognostic factors among cohort groups of the same stage will either enhance or blunt true differences </w:t>
      </w:r>
      <w:r w:rsidR="008657A6" w:rsidRPr="00BA5864">
        <w:t xml:space="preserve">in outcome </w:t>
      </w:r>
      <w:r w:rsidR="008628F3" w:rsidRPr="00BA5864">
        <w:t xml:space="preserve">so </w:t>
      </w:r>
      <w:r w:rsidR="008657A6" w:rsidRPr="00BA5864">
        <w:t xml:space="preserve">that the </w:t>
      </w:r>
      <w:r w:rsidR="008628F3" w:rsidRPr="00BA5864">
        <w:t>main effect of treatment may become</w:t>
      </w:r>
      <w:r w:rsidR="008657A6" w:rsidRPr="00BA5864">
        <w:t xml:space="preserve"> difficult to detect.</w:t>
      </w:r>
      <w:r w:rsidR="008657A6">
        <w:t xml:space="preserve"> </w:t>
      </w:r>
      <w:r w:rsidR="007F37C7">
        <w:t>This consideration becomes important when prognostic i</w:t>
      </w:r>
      <w:r w:rsidR="00CD6DD9">
        <w:t>mplications may be large and tr</w:t>
      </w:r>
      <w:r w:rsidR="007F37C7">
        <w:t>i</w:t>
      </w:r>
      <w:r w:rsidR="00CD6DD9">
        <w:t>a</w:t>
      </w:r>
      <w:r w:rsidR="007F37C7">
        <w:t>l result absolute survival differences are relatively small.  Pretrial o</w:t>
      </w:r>
      <w:r w:rsidR="001D2076">
        <w:t>utcome calcul</w:t>
      </w:r>
      <w:r w:rsidR="001D2076">
        <w:t>a</w:t>
      </w:r>
      <w:r w:rsidR="001D2076">
        <w:t>tions for each combination of prognostic factors in comparative cohorts minimize</w:t>
      </w:r>
      <w:r w:rsidR="00FE378A">
        <w:t xml:space="preserve"> the variation among treatment groups.</w:t>
      </w:r>
      <w:r w:rsidR="0069116C">
        <w:t xml:space="preserve"> </w:t>
      </w:r>
      <w:r w:rsidR="00FE378A">
        <w:t>S</w:t>
      </w:r>
      <w:r>
        <w:rPr>
          <w:szCs w:val="24"/>
        </w:rPr>
        <w:t xml:space="preserve">tratifying </w:t>
      </w:r>
      <w:r w:rsidRPr="009A27AC">
        <w:rPr>
          <w:szCs w:val="24"/>
        </w:rPr>
        <w:t>patients accord</w:t>
      </w:r>
      <w:r>
        <w:rPr>
          <w:szCs w:val="24"/>
        </w:rPr>
        <w:t>ing to multiple</w:t>
      </w:r>
      <w:r w:rsidRPr="009A27AC">
        <w:rPr>
          <w:szCs w:val="24"/>
        </w:rPr>
        <w:t xml:space="preserve"> and </w:t>
      </w:r>
      <w:r>
        <w:rPr>
          <w:szCs w:val="24"/>
        </w:rPr>
        <w:t xml:space="preserve">similar </w:t>
      </w:r>
      <w:r w:rsidRPr="009A27AC">
        <w:rPr>
          <w:szCs w:val="24"/>
        </w:rPr>
        <w:t>prognostic factors</w:t>
      </w:r>
      <w:r>
        <w:rPr>
          <w:szCs w:val="24"/>
        </w:rPr>
        <w:t xml:space="preserve"> provides more homogeneous patient popul</w:t>
      </w:r>
      <w:r w:rsidR="00FE378A">
        <w:rPr>
          <w:szCs w:val="24"/>
        </w:rPr>
        <w:t xml:space="preserve">ations for clinical trials. Given a </w:t>
      </w:r>
      <w:r>
        <w:rPr>
          <w:szCs w:val="24"/>
        </w:rPr>
        <w:t>more heterogene</w:t>
      </w:r>
      <w:r w:rsidR="00FE378A">
        <w:rPr>
          <w:szCs w:val="24"/>
        </w:rPr>
        <w:t xml:space="preserve">ous </w:t>
      </w:r>
      <w:r>
        <w:rPr>
          <w:szCs w:val="24"/>
        </w:rPr>
        <w:t>patient popula</w:t>
      </w:r>
      <w:r w:rsidR="00FE378A">
        <w:rPr>
          <w:szCs w:val="24"/>
        </w:rPr>
        <w:t>tion among comparative cohorts, the less likely</w:t>
      </w:r>
      <w:r>
        <w:rPr>
          <w:szCs w:val="24"/>
        </w:rPr>
        <w:t xml:space="preserve"> a true treatment effect will be d</w:t>
      </w:r>
      <w:r>
        <w:rPr>
          <w:szCs w:val="24"/>
        </w:rPr>
        <w:t>e</w:t>
      </w:r>
      <w:r>
        <w:rPr>
          <w:szCs w:val="24"/>
        </w:rPr>
        <w:t>tected. Finally, this</w:t>
      </w:r>
      <w:r w:rsidRPr="00241A29">
        <w:t xml:space="preserve"> </w:t>
      </w:r>
      <w:r>
        <w:t>algorithmic approach provides a quantitative assessment, combining the r</w:t>
      </w:r>
      <w:r>
        <w:t>e</w:t>
      </w:r>
      <w:r>
        <w:t xml:space="preserve">sults of TNM staging analysis with </w:t>
      </w:r>
      <w:r w:rsidR="008657A6">
        <w:t xml:space="preserve">specific </w:t>
      </w:r>
      <w:r>
        <w:t>prognostic factors, which offer the opportunity for focused physician-patient discussions and more</w:t>
      </w:r>
      <w:r w:rsidR="0019719F">
        <w:t xml:space="preserve"> accurate outcome </w:t>
      </w:r>
      <w:r w:rsidR="001D2076">
        <w:t xml:space="preserve">prediction. </w:t>
      </w:r>
    </w:p>
    <w:p w:rsidR="00445C95" w:rsidRPr="00445C95" w:rsidRDefault="00445C95" w:rsidP="00445C95">
      <w:pPr>
        <w:ind w:firstLine="0"/>
        <w:rPr>
          <w:rStyle w:val="Strong"/>
          <w:b/>
        </w:rPr>
      </w:pPr>
      <w:r w:rsidRPr="00445C95">
        <w:rPr>
          <w:rStyle w:val="Strong"/>
          <w:b/>
        </w:rPr>
        <w:t>Conclusions</w:t>
      </w:r>
    </w:p>
    <w:p w:rsidR="00445C95" w:rsidRPr="00445C95" w:rsidRDefault="00445C95" w:rsidP="00445C95">
      <w:r w:rsidRPr="00445C95">
        <w:t>The clustering analysis approach provides for a greater stratification of tumor stages and e</w:t>
      </w:r>
      <w:r w:rsidRPr="00445C95">
        <w:t>n</w:t>
      </w:r>
      <w:r w:rsidRPr="00445C95">
        <w:t>hances prognostic assessments within a given anatomic stage.</w:t>
      </w:r>
      <w:r w:rsidRPr="00445C95">
        <w:rPr>
          <w:i/>
          <w:iCs/>
        </w:rPr>
        <w:t xml:space="preserve"> </w:t>
      </w:r>
      <w:r w:rsidRPr="00445C95">
        <w:t xml:space="preserve">The implications of these findings </w:t>
      </w:r>
      <w:r w:rsidRPr="00445C95">
        <w:lastRenderedPageBreak/>
        <w:t>offer insight into the spectrum and stratification of survival outcomes within a given TNM stage and demonstrate an enhanced standardization of cohort comparisons for clinical trials.</w:t>
      </w:r>
      <w:r>
        <w:t xml:space="preserve"> </w:t>
      </w:r>
      <w:r w:rsidR="00180959">
        <w:t>P</w:t>
      </w:r>
      <w:r w:rsidR="009061EA" w:rsidRPr="009061EA">
        <w:rPr>
          <w:bCs/>
        </w:rPr>
        <w:t>atient stratification depends on a combination of prognostic factors</w:t>
      </w:r>
      <w:r w:rsidR="001E5A64">
        <w:rPr>
          <w:bCs/>
        </w:rPr>
        <w:t xml:space="preserve"> each of which contributes to survival</w:t>
      </w:r>
      <w:bookmarkStart w:id="0" w:name="_GoBack"/>
      <w:bookmarkEnd w:id="0"/>
      <w:r w:rsidR="009061EA" w:rsidRPr="009061EA">
        <w:rPr>
          <w:bCs/>
        </w:rPr>
        <w:t xml:space="preserve">. The improved stratification utilizing this enhanced staging system, based on incorporation of prognostic variables within TNM, may guide the clinician into more rational management </w:t>
      </w:r>
      <w:r w:rsidR="00727DF6">
        <w:rPr>
          <w:bCs/>
        </w:rPr>
        <w:t xml:space="preserve">of patients </w:t>
      </w:r>
      <w:r w:rsidR="009061EA" w:rsidRPr="009061EA">
        <w:rPr>
          <w:bCs/>
        </w:rPr>
        <w:t>with favorable and unfavor</w:t>
      </w:r>
      <w:r w:rsidR="009061EA" w:rsidRPr="009061EA">
        <w:rPr>
          <w:bCs/>
        </w:rPr>
        <w:t>a</w:t>
      </w:r>
      <w:r w:rsidR="009061EA" w:rsidRPr="009061EA">
        <w:rPr>
          <w:bCs/>
        </w:rPr>
        <w:t>ble biologic activity.</w:t>
      </w:r>
    </w:p>
    <w:p w:rsidR="00445C95" w:rsidRDefault="00445C95" w:rsidP="00FE378A"/>
    <w:p w:rsidR="00856E84" w:rsidRPr="00FE378A" w:rsidRDefault="005E18CD" w:rsidP="00FE378A">
      <w:pPr>
        <w:rPr>
          <w:rStyle w:val="Emphasis"/>
        </w:rPr>
      </w:pPr>
      <w:r>
        <w:t xml:space="preserve"> </w:t>
      </w:r>
      <w:r w:rsidR="00856E84">
        <w:rPr>
          <w:rStyle w:val="Emphasis"/>
          <w:rFonts w:cs="Arial"/>
        </w:rPr>
        <w:br w:type="page"/>
      </w:r>
    </w:p>
    <w:p w:rsidR="00856E84" w:rsidRPr="00241A29" w:rsidRDefault="00856E84" w:rsidP="00A40E1E">
      <w:pPr>
        <w:rPr>
          <w:rFonts w:cs="Arial"/>
        </w:rPr>
      </w:pPr>
      <w:r>
        <w:lastRenderedPageBreak/>
        <w:t>REFERENCES</w:t>
      </w:r>
    </w:p>
    <w:p w:rsidR="003C4DB8" w:rsidRDefault="003C4DB8" w:rsidP="003C4DB8">
      <w:pPr>
        <w:pStyle w:val="ListParagraph"/>
        <w:numPr>
          <w:ilvl w:val="0"/>
          <w:numId w:val="5"/>
        </w:numPr>
      </w:pPr>
      <w:r>
        <w:t>Burke HB</w:t>
      </w:r>
      <w:r w:rsidR="003757EC">
        <w:t>,</w:t>
      </w:r>
      <w:r w:rsidRPr="003847E3">
        <w:t xml:space="preserve"> Henson</w:t>
      </w:r>
      <w:r>
        <w:t xml:space="preserve"> DE</w:t>
      </w:r>
      <w:r w:rsidR="003757EC">
        <w:t>.</w:t>
      </w:r>
      <w:r w:rsidRPr="003847E3">
        <w:t xml:space="preserve"> Criteria for prognostic factors and for an enhanced prognostic system. Cancer </w:t>
      </w:r>
      <w:r w:rsidR="003757EC">
        <w:t>1993;</w:t>
      </w:r>
      <w:r w:rsidRPr="003847E3">
        <w:t>72:3131-3135.</w:t>
      </w:r>
    </w:p>
    <w:p w:rsidR="009D6D3C" w:rsidRDefault="009D6D3C" w:rsidP="009D6D3C">
      <w:pPr>
        <w:pStyle w:val="ListParagraph"/>
        <w:numPr>
          <w:ilvl w:val="0"/>
          <w:numId w:val="5"/>
        </w:numPr>
      </w:pPr>
      <w:r w:rsidRPr="00726D4D">
        <w:t xml:space="preserve">Chen D, Xing K, Henson D, </w:t>
      </w:r>
      <w:r>
        <w:t xml:space="preserve">et al. </w:t>
      </w:r>
      <w:r w:rsidRPr="00726D4D">
        <w:t xml:space="preserve">Developing Prognostic Systems of Cancer Patients by Ensemble Clustering. </w:t>
      </w:r>
      <w:r w:rsidRPr="00D6582C">
        <w:rPr>
          <w:i/>
          <w:iCs/>
        </w:rPr>
        <w:t xml:space="preserve">Journal of Biomedicine and Biotechnology, </w:t>
      </w:r>
      <w:r w:rsidRPr="00726D4D">
        <w:t>Volume 2009, Article ID 632786, 7 pages, doi:10.1155/2009/632786.</w:t>
      </w:r>
    </w:p>
    <w:p w:rsidR="007042E6" w:rsidRPr="007042E6" w:rsidRDefault="007042E6" w:rsidP="007042E6">
      <w:pPr>
        <w:pStyle w:val="ListParagraph"/>
        <w:numPr>
          <w:ilvl w:val="0"/>
          <w:numId w:val="5"/>
        </w:numPr>
        <w:rPr>
          <w:bCs/>
        </w:rPr>
      </w:pPr>
      <w:r w:rsidRPr="00722D02">
        <w:t>Ran Qi</w:t>
      </w:r>
      <w:r>
        <w:t xml:space="preserve">, </w:t>
      </w:r>
      <w:r w:rsidRPr="00722D02">
        <w:t>Wu</w:t>
      </w:r>
      <w:r>
        <w:t xml:space="preserve"> D, </w:t>
      </w:r>
      <w:r w:rsidRPr="00722D02">
        <w:t>Sheng</w:t>
      </w:r>
      <w:r>
        <w:t xml:space="preserve"> L,</w:t>
      </w:r>
      <w:r w:rsidRPr="00722D02">
        <w:t xml:space="preserve"> </w:t>
      </w:r>
      <w:r w:rsidRPr="004C3E8D">
        <w:t>Henson D</w:t>
      </w:r>
      <w:r w:rsidRPr="007042E6">
        <w:rPr>
          <w:b/>
        </w:rPr>
        <w:t xml:space="preserve">, </w:t>
      </w:r>
      <w:r w:rsidRPr="00722D02">
        <w:t>Schwartz</w:t>
      </w:r>
      <w:r>
        <w:t xml:space="preserve"> AM, </w:t>
      </w:r>
      <w:proofErr w:type="spellStart"/>
      <w:r w:rsidRPr="00722D02">
        <w:t>Xu</w:t>
      </w:r>
      <w:proofErr w:type="spellEnd"/>
      <w:r>
        <w:t xml:space="preserve"> E,</w:t>
      </w:r>
      <w:r w:rsidRPr="00722D02">
        <w:t xml:space="preserve"> Xing</w:t>
      </w:r>
      <w:r>
        <w:t xml:space="preserve"> K, Chen D. </w:t>
      </w:r>
      <w:r w:rsidRPr="007042E6">
        <w:rPr>
          <w:bCs/>
        </w:rPr>
        <w:t>On an e</w:t>
      </w:r>
      <w:r w:rsidRPr="007042E6">
        <w:rPr>
          <w:bCs/>
        </w:rPr>
        <w:t>n</w:t>
      </w:r>
      <w:r w:rsidRPr="007042E6">
        <w:rPr>
          <w:bCs/>
        </w:rPr>
        <w:t>semble algorithm for clustering cancer patient data. BMC in press.</w:t>
      </w:r>
    </w:p>
    <w:p w:rsidR="00856E84" w:rsidRDefault="00856E84" w:rsidP="00D6582C">
      <w:pPr>
        <w:pStyle w:val="ListParagraph"/>
        <w:numPr>
          <w:ilvl w:val="0"/>
          <w:numId w:val="5"/>
        </w:numPr>
      </w:pPr>
      <w:r>
        <w:t xml:space="preserve">Harmer </w:t>
      </w:r>
      <w:r w:rsidRPr="00D74515">
        <w:t>M. The British clinical stag</w:t>
      </w:r>
      <w:r>
        <w:t>ing of breast cancer. Brit. Med</w:t>
      </w:r>
      <w:r w:rsidRPr="00D74515">
        <w:t xml:space="preserve"> J </w:t>
      </w:r>
      <w:r>
        <w:t>1958;</w:t>
      </w:r>
      <w:r w:rsidRPr="00D74515">
        <w:t>1:767-769.</w:t>
      </w:r>
    </w:p>
    <w:p w:rsidR="00856E84" w:rsidRPr="00697A47" w:rsidRDefault="00856E84" w:rsidP="00D6582C">
      <w:pPr>
        <w:pStyle w:val="ListParagraph"/>
        <w:numPr>
          <w:ilvl w:val="0"/>
          <w:numId w:val="5"/>
        </w:numPr>
      </w:pPr>
      <w:r w:rsidRPr="00697A47">
        <w:t>Copeland MM Committee on Cancer Staging and End Results Reporting – Origin, Objectives, and Program. Bull Amer. Coll. Surg. 1962;235-237.</w:t>
      </w:r>
    </w:p>
    <w:p w:rsidR="00856E84" w:rsidRPr="00D74515" w:rsidRDefault="00856E84" w:rsidP="00D6582C">
      <w:pPr>
        <w:pStyle w:val="ListParagraph"/>
        <w:numPr>
          <w:ilvl w:val="0"/>
          <w:numId w:val="5"/>
        </w:numPr>
      </w:pPr>
      <w:r>
        <w:t>Sellers A</w:t>
      </w:r>
      <w:r w:rsidRPr="00D74515">
        <w:t>H. The clinical stage classificat</w:t>
      </w:r>
      <w:r>
        <w:t xml:space="preserve">ion of malignant </w:t>
      </w:r>
      <w:r w:rsidR="000F09EE">
        <w:t>tumors</w:t>
      </w:r>
      <w:r>
        <w:t xml:space="preserve">. </w:t>
      </w:r>
      <w:proofErr w:type="spellStart"/>
      <w:r>
        <w:t>Canad</w:t>
      </w:r>
      <w:proofErr w:type="spellEnd"/>
      <w:r>
        <w:t xml:space="preserve"> Med </w:t>
      </w:r>
      <w:proofErr w:type="spellStart"/>
      <w:r>
        <w:t>Assoc</w:t>
      </w:r>
      <w:proofErr w:type="spellEnd"/>
      <w:r>
        <w:t xml:space="preserve"> J</w:t>
      </w:r>
      <w:r w:rsidRPr="00D74515">
        <w:t xml:space="preserve"> 1966</w:t>
      </w:r>
      <w:r>
        <w:t>;</w:t>
      </w:r>
      <w:r w:rsidRPr="00D74515">
        <w:t>95:313-315.</w:t>
      </w:r>
    </w:p>
    <w:p w:rsidR="00856E84" w:rsidRPr="001B5DF2" w:rsidRDefault="004E4B0A" w:rsidP="00D6582C">
      <w:pPr>
        <w:pStyle w:val="ListParagraph"/>
        <w:numPr>
          <w:ilvl w:val="0"/>
          <w:numId w:val="5"/>
        </w:numPr>
      </w:pPr>
      <w:hyperlink r:id="rId11" w:history="1">
        <w:proofErr w:type="spellStart"/>
        <w:r w:rsidR="00856E84" w:rsidRPr="00D6582C">
          <w:rPr>
            <w:rStyle w:val="Hyperlink"/>
            <w:color w:val="auto"/>
          </w:rPr>
          <w:t>Gospodarowicz</w:t>
        </w:r>
        <w:proofErr w:type="spellEnd"/>
        <w:r w:rsidR="00856E84" w:rsidRPr="00D6582C">
          <w:rPr>
            <w:rStyle w:val="Hyperlink"/>
            <w:color w:val="auto"/>
          </w:rPr>
          <w:t xml:space="preserve"> M</w:t>
        </w:r>
      </w:hyperlink>
      <w:r w:rsidR="00856E84" w:rsidRPr="001B5DF2">
        <w:t xml:space="preserve">, </w:t>
      </w:r>
      <w:hyperlink r:id="rId12" w:history="1">
        <w:proofErr w:type="spellStart"/>
        <w:r w:rsidR="00856E84" w:rsidRPr="00D6582C">
          <w:rPr>
            <w:rStyle w:val="Hyperlink"/>
            <w:color w:val="auto"/>
          </w:rPr>
          <w:t>Benedet</w:t>
        </w:r>
        <w:proofErr w:type="spellEnd"/>
        <w:r w:rsidR="00856E84" w:rsidRPr="00D6582C">
          <w:rPr>
            <w:rStyle w:val="Hyperlink"/>
            <w:color w:val="auto"/>
          </w:rPr>
          <w:t xml:space="preserve"> L</w:t>
        </w:r>
      </w:hyperlink>
      <w:r w:rsidR="00856E84" w:rsidRPr="001B5DF2">
        <w:t xml:space="preserve">, </w:t>
      </w:r>
      <w:hyperlink r:id="rId13" w:history="1">
        <w:proofErr w:type="spellStart"/>
        <w:r w:rsidR="00856E84" w:rsidRPr="00D6582C">
          <w:rPr>
            <w:rStyle w:val="Hyperlink"/>
            <w:color w:val="auto"/>
          </w:rPr>
          <w:t>Hutter</w:t>
        </w:r>
        <w:proofErr w:type="spellEnd"/>
        <w:r w:rsidR="00856E84" w:rsidRPr="00D6582C">
          <w:rPr>
            <w:rStyle w:val="Hyperlink"/>
            <w:color w:val="auto"/>
          </w:rPr>
          <w:t xml:space="preserve"> RV</w:t>
        </w:r>
      </w:hyperlink>
      <w:r w:rsidR="00856E84" w:rsidRPr="001B5DF2">
        <w:t xml:space="preserve">, </w:t>
      </w:r>
      <w:r w:rsidR="00856E84">
        <w:t>et al</w:t>
      </w:r>
      <w:r w:rsidR="00856E84" w:rsidRPr="001B5DF2">
        <w:t>.</w:t>
      </w:r>
      <w:r w:rsidR="00856E84">
        <w:t xml:space="preserve"> </w:t>
      </w:r>
      <w:r w:rsidR="00856E84" w:rsidRPr="00D6582C">
        <w:rPr>
          <w:bCs/>
        </w:rPr>
        <w:t>History and international develo</w:t>
      </w:r>
      <w:r w:rsidR="00856E84" w:rsidRPr="00D6582C">
        <w:rPr>
          <w:bCs/>
        </w:rPr>
        <w:t>p</w:t>
      </w:r>
      <w:r w:rsidR="00856E84" w:rsidRPr="00D6582C">
        <w:rPr>
          <w:bCs/>
        </w:rPr>
        <w:t>ments in cancer staging.</w:t>
      </w:r>
      <w:r w:rsidR="00856E84">
        <w:rPr>
          <w:bCs/>
        </w:rPr>
        <w:t xml:space="preserve"> </w:t>
      </w:r>
      <w:hyperlink r:id="rId14" w:tooltip="Cancer prevention &amp; control : CPC = Prévention &amp; contrôle en cancérologie : PCC." w:history="1">
        <w:r w:rsidR="00856E84" w:rsidRPr="00D6582C">
          <w:rPr>
            <w:rStyle w:val="Hyperlink"/>
            <w:color w:val="auto"/>
          </w:rPr>
          <w:t xml:space="preserve">Cancer </w:t>
        </w:r>
        <w:proofErr w:type="spellStart"/>
        <w:r w:rsidR="00856E84" w:rsidRPr="00D6582C">
          <w:rPr>
            <w:rStyle w:val="Hyperlink"/>
            <w:color w:val="auto"/>
          </w:rPr>
          <w:t>Prev</w:t>
        </w:r>
        <w:proofErr w:type="spellEnd"/>
        <w:r w:rsidR="00856E84" w:rsidRPr="00D6582C">
          <w:rPr>
            <w:rStyle w:val="Hyperlink"/>
            <w:color w:val="auto"/>
          </w:rPr>
          <w:t xml:space="preserve"> Control.</w:t>
        </w:r>
      </w:hyperlink>
      <w:r w:rsidR="00856E84" w:rsidRPr="001B5DF2">
        <w:t xml:space="preserve"> 1998 6:262-8.</w:t>
      </w:r>
    </w:p>
    <w:p w:rsidR="00856E84" w:rsidRPr="00697A47" w:rsidRDefault="00856E84" w:rsidP="00D6582C">
      <w:pPr>
        <w:pStyle w:val="ListParagraph"/>
        <w:numPr>
          <w:ilvl w:val="0"/>
          <w:numId w:val="5"/>
        </w:numPr>
      </w:pPr>
      <w:r w:rsidRPr="009A2125">
        <w:t>Cancer Staging Manual</w:t>
      </w:r>
      <w:r w:rsidRPr="00697A47">
        <w:t>, American Joint Committee on Cancer. Editors: Edge SB, Byrd DR, et al., 7th Edition, Springer 2010.</w:t>
      </w:r>
    </w:p>
    <w:p w:rsidR="00856E84" w:rsidRPr="00697A47" w:rsidRDefault="00856E84" w:rsidP="00D6582C">
      <w:pPr>
        <w:pStyle w:val="ListParagraph"/>
        <w:numPr>
          <w:ilvl w:val="0"/>
          <w:numId w:val="5"/>
        </w:numPr>
      </w:pPr>
      <w:proofErr w:type="spellStart"/>
      <w:r w:rsidRPr="00697A47">
        <w:t>Gospodarowicz</w:t>
      </w:r>
      <w:proofErr w:type="spellEnd"/>
      <w:r w:rsidRPr="00697A47">
        <w:t xml:space="preserve"> M, </w:t>
      </w:r>
      <w:proofErr w:type="spellStart"/>
      <w:r w:rsidRPr="00697A47">
        <w:t>Mackillop</w:t>
      </w:r>
      <w:proofErr w:type="spellEnd"/>
      <w:r w:rsidRPr="00697A47">
        <w:t xml:space="preserve"> W, O’Sullivan B, et al. Prognostic factors in clinical decision making. Cancer (</w:t>
      </w:r>
      <w:proofErr w:type="spellStart"/>
      <w:r w:rsidRPr="00697A47">
        <w:t>suppl</w:t>
      </w:r>
      <w:proofErr w:type="spellEnd"/>
      <w:r w:rsidRPr="00697A47">
        <w:t>) 2001;91:1688-1695.</w:t>
      </w:r>
    </w:p>
    <w:p w:rsidR="00856E84" w:rsidRPr="00697A47" w:rsidRDefault="00856E84" w:rsidP="00D6582C">
      <w:pPr>
        <w:pStyle w:val="ListParagraph"/>
        <w:numPr>
          <w:ilvl w:val="0"/>
          <w:numId w:val="5"/>
        </w:numPr>
      </w:pPr>
      <w:proofErr w:type="spellStart"/>
      <w:r w:rsidRPr="00697A47">
        <w:t>Piccirillo</w:t>
      </w:r>
      <w:proofErr w:type="spellEnd"/>
      <w:r w:rsidRPr="00697A47">
        <w:t xml:space="preserve"> JF, Feinstein AR. Clinical symptoms and comorbidity: significance for the prognostic classification of cancer. Cancer 1996;77:834-842.</w:t>
      </w:r>
    </w:p>
    <w:p w:rsidR="00856E84" w:rsidRPr="00D74515" w:rsidRDefault="00856E84" w:rsidP="00D6582C">
      <w:pPr>
        <w:pStyle w:val="ListParagraph"/>
        <w:numPr>
          <w:ilvl w:val="0"/>
          <w:numId w:val="5"/>
        </w:numPr>
      </w:pPr>
      <w:proofErr w:type="spellStart"/>
      <w:r w:rsidRPr="00697A47">
        <w:lastRenderedPageBreak/>
        <w:t>Winer</w:t>
      </w:r>
      <w:proofErr w:type="spellEnd"/>
      <w:r w:rsidRPr="00697A47">
        <w:t xml:space="preserve"> EP, Carey LA, </w:t>
      </w:r>
      <w:proofErr w:type="spellStart"/>
      <w:r w:rsidRPr="00697A47">
        <w:t>Dowsett</w:t>
      </w:r>
      <w:proofErr w:type="spellEnd"/>
      <w:r w:rsidRPr="00697A47">
        <w:t xml:space="preserve"> M, </w:t>
      </w:r>
      <w:proofErr w:type="spellStart"/>
      <w:r w:rsidRPr="00697A47">
        <w:t>Tripathy</w:t>
      </w:r>
      <w:proofErr w:type="spellEnd"/>
      <w:r w:rsidRPr="00697A47">
        <w:t xml:space="preserve"> D. Beyond anatomic staging: are we ready to take the leap to molecular classification. Am </w:t>
      </w:r>
      <w:proofErr w:type="spellStart"/>
      <w:r w:rsidRPr="00697A47">
        <w:t>Soc</w:t>
      </w:r>
      <w:proofErr w:type="spellEnd"/>
      <w:r>
        <w:t xml:space="preserve"> </w:t>
      </w:r>
      <w:proofErr w:type="spellStart"/>
      <w:r w:rsidRPr="00697A47">
        <w:t>Clin</w:t>
      </w:r>
      <w:proofErr w:type="spellEnd"/>
      <w:r>
        <w:t xml:space="preserve"> </w:t>
      </w:r>
      <w:proofErr w:type="spellStart"/>
      <w:r w:rsidRPr="00697A47">
        <w:t>Oncol</w:t>
      </w:r>
      <w:proofErr w:type="spellEnd"/>
      <w:r w:rsidRPr="00697A47">
        <w:t xml:space="preserve"> 2005; 41st Ann.</w:t>
      </w:r>
      <w:r w:rsidRPr="00D74515">
        <w:t xml:space="preserve"> Meeting.</w:t>
      </w:r>
    </w:p>
    <w:p w:rsidR="00856E84" w:rsidRDefault="004E4B0A" w:rsidP="00D6582C">
      <w:pPr>
        <w:pStyle w:val="ListParagraph"/>
        <w:numPr>
          <w:ilvl w:val="0"/>
          <w:numId w:val="5"/>
        </w:numPr>
      </w:pPr>
      <w:hyperlink r:id="rId15" w:history="1">
        <w:r w:rsidR="00856E84" w:rsidRPr="00D6582C">
          <w:rPr>
            <w:rStyle w:val="Hyperlink"/>
            <w:color w:val="auto"/>
            <w:u w:val="none"/>
          </w:rPr>
          <w:t>Takes RP</w:t>
        </w:r>
      </w:hyperlink>
      <w:r w:rsidR="00856E84" w:rsidRPr="0007608B">
        <w:t xml:space="preserve">, </w:t>
      </w:r>
      <w:hyperlink r:id="rId16" w:history="1">
        <w:proofErr w:type="spellStart"/>
        <w:r w:rsidR="00856E84" w:rsidRPr="00D6582C">
          <w:rPr>
            <w:rStyle w:val="Hyperlink"/>
            <w:color w:val="auto"/>
            <w:u w:val="none"/>
          </w:rPr>
          <w:t>Rinaldo</w:t>
        </w:r>
        <w:proofErr w:type="spellEnd"/>
        <w:r w:rsidR="00856E84" w:rsidRPr="00D6582C">
          <w:rPr>
            <w:rStyle w:val="Hyperlink"/>
            <w:color w:val="auto"/>
            <w:u w:val="none"/>
          </w:rPr>
          <w:t xml:space="preserve"> A</w:t>
        </w:r>
      </w:hyperlink>
      <w:r w:rsidR="00856E84" w:rsidRPr="0007608B">
        <w:t xml:space="preserve">, </w:t>
      </w:r>
      <w:hyperlink r:id="rId17" w:history="1">
        <w:r w:rsidR="00856E84" w:rsidRPr="00D6582C">
          <w:rPr>
            <w:rStyle w:val="Hyperlink"/>
            <w:color w:val="auto"/>
            <w:u w:val="none"/>
          </w:rPr>
          <w:t>Silver CE</w:t>
        </w:r>
      </w:hyperlink>
      <w:r w:rsidR="00856E84" w:rsidRPr="0007608B">
        <w:t xml:space="preserve">, </w:t>
      </w:r>
      <w:r w:rsidR="00856E84">
        <w:t>et al</w:t>
      </w:r>
      <w:r w:rsidR="00856E84" w:rsidRPr="00506CEB">
        <w:t>.</w:t>
      </w:r>
      <w:r w:rsidR="00856E84">
        <w:t xml:space="preserve"> </w:t>
      </w:r>
      <w:r w:rsidR="00856E84" w:rsidRPr="00D6582C">
        <w:rPr>
          <w:bCs/>
        </w:rPr>
        <w:t xml:space="preserve">Future of the TNM classification and staging </w:t>
      </w:r>
      <w:r w:rsidR="00856E84" w:rsidRPr="00D6582C">
        <w:rPr>
          <w:rStyle w:val="Hyperlink"/>
          <w:color w:val="auto"/>
          <w:u w:val="none"/>
        </w:rPr>
        <w:t>system</w:t>
      </w:r>
      <w:r w:rsidR="00856E84" w:rsidRPr="00D6582C">
        <w:rPr>
          <w:bCs/>
        </w:rPr>
        <w:t xml:space="preserve"> in head and neck cancer. </w:t>
      </w:r>
      <w:hyperlink r:id="rId18" w:tooltip="Head &amp; neck." w:history="1">
        <w:r w:rsidR="00856E84" w:rsidRPr="00D6582C">
          <w:rPr>
            <w:rStyle w:val="Hyperlink"/>
            <w:color w:val="auto"/>
          </w:rPr>
          <w:t>Head Neck.</w:t>
        </w:r>
      </w:hyperlink>
      <w:r w:rsidR="00856E84" w:rsidRPr="00506CEB">
        <w:t xml:space="preserve"> 201</w:t>
      </w:r>
      <w:r w:rsidR="00856E84">
        <w:t>0;32</w:t>
      </w:r>
      <w:r w:rsidR="00856E84" w:rsidRPr="0058297C">
        <w:t>:1693-711.</w:t>
      </w:r>
    </w:p>
    <w:p w:rsidR="00840192" w:rsidRDefault="00840192" w:rsidP="00840192"/>
    <w:p w:rsidR="00722D02" w:rsidRPr="00722D02" w:rsidRDefault="00722D02" w:rsidP="00722D02">
      <w:pPr>
        <w:rPr>
          <w:bCs/>
        </w:rPr>
      </w:pPr>
    </w:p>
    <w:p w:rsidR="00840192" w:rsidRDefault="00840192" w:rsidP="00840192"/>
    <w:p w:rsidR="00840192" w:rsidRPr="006260D6" w:rsidRDefault="00840192" w:rsidP="00840192"/>
    <w:p w:rsidR="00356B17" w:rsidRDefault="00356B17" w:rsidP="00D6582C"/>
    <w:p w:rsidR="00856E84" w:rsidRDefault="00664E90" w:rsidP="00D6582C">
      <w:pPr>
        <w:rPr>
          <w:rFonts w:eastAsia="SimSun"/>
        </w:rPr>
      </w:pPr>
      <w:r w:rsidRPr="00664E90">
        <w:rPr>
          <w:rFonts w:eastAsia="SimSun"/>
          <w:b/>
        </w:rPr>
        <w:t xml:space="preserve">Note: </w:t>
      </w:r>
      <w:r w:rsidRPr="00664E90">
        <w:rPr>
          <w:rFonts w:eastAsia="SimSun"/>
        </w:rPr>
        <w:t>The opinions expressed herein are those of the authors and do not necessarily repr</w:t>
      </w:r>
      <w:r w:rsidRPr="00664E90">
        <w:rPr>
          <w:rFonts w:eastAsia="SimSun"/>
        </w:rPr>
        <w:t>e</w:t>
      </w:r>
      <w:r w:rsidRPr="00664E90">
        <w:rPr>
          <w:rFonts w:eastAsia="SimSun"/>
        </w:rPr>
        <w:t>sent those of the Uniformed Services Unive</w:t>
      </w:r>
      <w:r>
        <w:rPr>
          <w:rFonts w:eastAsia="SimSun"/>
        </w:rPr>
        <w:t>rsity of the Health Sciences or</w:t>
      </w:r>
      <w:r w:rsidRPr="00664E90">
        <w:rPr>
          <w:rFonts w:eastAsia="SimSun"/>
        </w:rPr>
        <w:t xml:space="preserve"> the Department of D</w:t>
      </w:r>
      <w:r w:rsidRPr="00664E90">
        <w:rPr>
          <w:rFonts w:eastAsia="SimSun"/>
        </w:rPr>
        <w:t>e</w:t>
      </w:r>
      <w:r w:rsidRPr="00664E90">
        <w:rPr>
          <w:rFonts w:eastAsia="SimSun"/>
        </w:rPr>
        <w:t>fense.</w:t>
      </w:r>
    </w:p>
    <w:p w:rsidR="00856E84" w:rsidRPr="00B008D7" w:rsidRDefault="00856E84" w:rsidP="00D6582C">
      <w:r w:rsidRPr="00B008D7">
        <w:t>.</w:t>
      </w:r>
      <w:r w:rsidRPr="00B008D7">
        <w:br w:type="page"/>
      </w:r>
    </w:p>
    <w:p w:rsidR="00856E84" w:rsidRPr="000277BD" w:rsidRDefault="00856E84" w:rsidP="00A40E1E">
      <w:pPr>
        <w:rPr>
          <w:b/>
        </w:rPr>
      </w:pPr>
      <w:r w:rsidRPr="000277BD">
        <w:rPr>
          <w:b/>
        </w:rPr>
        <w:lastRenderedPageBreak/>
        <w:t>Legends</w:t>
      </w:r>
    </w:p>
    <w:p w:rsidR="00856E84" w:rsidRDefault="00856E84" w:rsidP="00F00408">
      <w:pPr>
        <w:rPr>
          <w:rStyle w:val="Emphasis"/>
        </w:rPr>
      </w:pPr>
      <w:r>
        <w:rPr>
          <w:b/>
        </w:rPr>
        <w:t>Fig</w:t>
      </w:r>
      <w:r w:rsidRPr="00681E0E">
        <w:rPr>
          <w:b/>
        </w:rPr>
        <w:t>ure 1</w:t>
      </w:r>
      <w:r w:rsidR="00196D6A">
        <w:rPr>
          <w:b/>
        </w:rPr>
        <w:t>A</w:t>
      </w:r>
      <w:r w:rsidRPr="000B1D00">
        <w:t>: Compari</w:t>
      </w:r>
      <w:r>
        <w:t>son of breast c</w:t>
      </w:r>
      <w:r w:rsidRPr="000B1D00">
        <w:t xml:space="preserve">ancer </w:t>
      </w:r>
      <w:r>
        <w:t>patient survival rates based on the number of fa</w:t>
      </w:r>
      <w:r>
        <w:t>c</w:t>
      </w:r>
      <w:r>
        <w:t xml:space="preserve">tors evaluated. </w:t>
      </w:r>
      <w:r w:rsidRPr="006D2C1D">
        <w:t xml:space="preserve">One curve represents the survival </w:t>
      </w:r>
      <w:r>
        <w:t xml:space="preserve">rate </w:t>
      </w:r>
      <w:r w:rsidRPr="006D2C1D">
        <w:t xml:space="preserve">according to the T and N </w:t>
      </w:r>
      <w:r w:rsidR="008B39F7">
        <w:t>(T2</w:t>
      </w:r>
      <w:r>
        <w:t xml:space="preserve">N2) </w:t>
      </w:r>
      <w:r w:rsidRPr="006D2C1D">
        <w:t xml:space="preserve">only, and the other </w:t>
      </w:r>
      <w:r>
        <w:t xml:space="preserve">two </w:t>
      </w:r>
      <w:r w:rsidRPr="006D2C1D">
        <w:t xml:space="preserve">according to </w:t>
      </w:r>
      <w:r>
        <w:t>combinations of 5 factors, which include the same T and N categories. T</w:t>
      </w:r>
      <w:r w:rsidRPr="006D2C1D">
        <w:t xml:space="preserve">he </w:t>
      </w:r>
      <w:r>
        <w:t xml:space="preserve">integration </w:t>
      </w:r>
      <w:r w:rsidRPr="006D2C1D">
        <w:t>of 5 factors</w:t>
      </w:r>
      <w:r w:rsidR="008B39F7">
        <w:t xml:space="preserve"> splits the T and </w:t>
      </w:r>
      <w:r>
        <w:t>N survival rates by additional “good” and “bad” fa</w:t>
      </w:r>
      <w:r>
        <w:t>c</w:t>
      </w:r>
      <w:r>
        <w:t>tors</w:t>
      </w:r>
      <w:r w:rsidRPr="006D2C1D">
        <w:t xml:space="preserve">. </w:t>
      </w:r>
      <w:r w:rsidR="00196D6A">
        <w:t>T</w:t>
      </w:r>
      <w:r w:rsidRPr="006D2C1D">
        <w:t>he difference</w:t>
      </w:r>
      <w:r>
        <w:t>s of all curves are</w:t>
      </w:r>
      <w:r w:rsidRPr="006D2C1D">
        <w:t xml:space="preserve"> statistically significant</w:t>
      </w:r>
      <w:r>
        <w:t xml:space="preserve"> at the 95% confidence limits</w:t>
      </w:r>
      <w:r w:rsidR="00196D6A">
        <w:t xml:space="preserve"> as shown by the confidence bands</w:t>
      </w:r>
      <w:r>
        <w:t>. The</w:t>
      </w:r>
      <w:r w:rsidRPr="006D2C1D">
        <w:t xml:space="preserve"> combined 5 factors </w:t>
      </w:r>
      <w:r>
        <w:t>split</w:t>
      </w:r>
      <w:r w:rsidRPr="006D2C1D">
        <w:t xml:space="preserve"> </w:t>
      </w:r>
      <w:r w:rsidRPr="00874181">
        <w:t>the</w:t>
      </w:r>
      <w:r w:rsidRPr="008438B2">
        <w:rPr>
          <w:b/>
          <w:color w:val="00B050"/>
        </w:rPr>
        <w:t xml:space="preserve"> </w:t>
      </w:r>
      <w:r w:rsidRPr="000067E2">
        <w:t xml:space="preserve">stage assignment at 5 years </w:t>
      </w:r>
      <w:r w:rsidR="00684EB2">
        <w:t>for T2</w:t>
      </w:r>
      <w:r>
        <w:t>N2, Grade 1, ER</w:t>
      </w:r>
      <w:r w:rsidR="00684EB2">
        <w:t>+, Age&gt;50 and stage III for T2</w:t>
      </w:r>
      <w:r>
        <w:t>N2, Grade 3, ER-, Age&gt;50</w:t>
      </w:r>
      <w:r w:rsidRPr="006D2C1D">
        <w:t xml:space="preserve">. </w:t>
      </w:r>
      <w:r>
        <w:rPr>
          <w:rStyle w:val="Emphasis"/>
        </w:rPr>
        <w:t>Grade 3 in the plot repre</w:t>
      </w:r>
      <w:r w:rsidR="00684EB2">
        <w:rPr>
          <w:rStyle w:val="Emphasis"/>
        </w:rPr>
        <w:t xml:space="preserve">sents a combination of cases listed as </w:t>
      </w:r>
      <w:r>
        <w:rPr>
          <w:rStyle w:val="Emphasis"/>
        </w:rPr>
        <w:t xml:space="preserve">grade 3 </w:t>
      </w:r>
      <w:r w:rsidR="00684EB2">
        <w:rPr>
          <w:rStyle w:val="Emphasis"/>
        </w:rPr>
        <w:t xml:space="preserve">or </w:t>
      </w:r>
      <w:r>
        <w:rPr>
          <w:rStyle w:val="Emphasis"/>
        </w:rPr>
        <w:t>grade 4</w:t>
      </w:r>
      <w:r w:rsidR="00684EB2">
        <w:rPr>
          <w:rStyle w:val="Emphasis"/>
        </w:rPr>
        <w:t>.</w:t>
      </w:r>
      <w:r w:rsidR="00E418B8">
        <w:rPr>
          <w:rStyle w:val="Emphasis"/>
        </w:rPr>
        <w:t xml:space="preserve"> </w:t>
      </w:r>
      <w:r>
        <w:rPr>
          <w:rStyle w:val="Emphasis"/>
        </w:rPr>
        <w:t>The T and N survival rate splits because the additional factors select patients from the population with be</w:t>
      </w:r>
      <w:r w:rsidR="007C2242">
        <w:rPr>
          <w:rStyle w:val="Emphasis"/>
        </w:rPr>
        <w:t>tter or less favorable outcome</w:t>
      </w:r>
      <w:r>
        <w:rPr>
          <w:rStyle w:val="Emphasis"/>
        </w:rPr>
        <w:t xml:space="preserve">. The T and N survival rate alone represents a non-selected composite of patients of the selected factors. </w:t>
      </w:r>
    </w:p>
    <w:p w:rsidR="00856E84" w:rsidRDefault="00856E84" w:rsidP="00A15097">
      <w:pPr>
        <w:ind w:firstLine="0"/>
        <w:rPr>
          <w:rStyle w:val="Emphasis"/>
        </w:rPr>
      </w:pPr>
    </w:p>
    <w:p w:rsidR="00856E84" w:rsidRDefault="00196D6A" w:rsidP="00A15097">
      <w:pPr>
        <w:ind w:firstLine="0"/>
      </w:pPr>
      <w:r w:rsidRPr="00196D6A">
        <w:rPr>
          <w:b/>
        </w:rPr>
        <w:t>Figure 1B</w:t>
      </w:r>
      <w:r>
        <w:rPr>
          <w:b/>
        </w:rPr>
        <w:t xml:space="preserve">. </w:t>
      </w:r>
      <w:r w:rsidRPr="00196D6A">
        <w:t>The effect of</w:t>
      </w:r>
      <w:r>
        <w:t xml:space="preserve"> the histological grade on T1N2 cancers of the breast. The 3 grades split the TNM stage assignment into 3 significantly different survival rates. Note that grade remains prognostic even in the presence of category N2 nodes.</w:t>
      </w:r>
      <w:r w:rsidR="0028283E">
        <w:t xml:space="preserve"> In T1N2 cases, grade 3 </w:t>
      </w:r>
      <w:r w:rsidR="004F3CCE">
        <w:t xml:space="preserve">significantly </w:t>
      </w:r>
      <w:r w:rsidR="0028283E">
        <w:t>r</w:t>
      </w:r>
      <w:r w:rsidR="0028283E">
        <w:t>e</w:t>
      </w:r>
      <w:r w:rsidR="0028283E">
        <w:t>duces t</w:t>
      </w:r>
      <w:r w:rsidR="004F3CCE">
        <w:t>he survival</w:t>
      </w:r>
      <w:r w:rsidR="0028283E">
        <w:t xml:space="preserve"> compared to grade 1.</w:t>
      </w:r>
    </w:p>
    <w:p w:rsidR="0028283E" w:rsidRDefault="0028283E" w:rsidP="00A15097">
      <w:pPr>
        <w:ind w:firstLine="0"/>
        <w:rPr>
          <w:b/>
        </w:rPr>
      </w:pPr>
    </w:p>
    <w:p w:rsidR="00196D6A" w:rsidRPr="00196D6A" w:rsidRDefault="00196D6A" w:rsidP="00A15097">
      <w:pPr>
        <w:ind w:firstLine="0"/>
        <w:rPr>
          <w:b/>
        </w:rPr>
      </w:pPr>
    </w:p>
    <w:p w:rsidR="00856E84" w:rsidRDefault="00856E84" w:rsidP="008F29DB">
      <w:pPr>
        <w:ind w:firstLine="0"/>
      </w:pPr>
      <w:r w:rsidRPr="000277BD">
        <w:rPr>
          <w:b/>
        </w:rPr>
        <w:t xml:space="preserve">Figure 2: </w:t>
      </w:r>
      <w:r>
        <w:t>Five-year survival rate</w:t>
      </w:r>
      <w:r w:rsidR="000A6559">
        <w:t>s</w:t>
      </w:r>
      <w:r>
        <w:t xml:space="preserve"> of male lung cancer patients after histological grades 1, 2, and 3 ha</w:t>
      </w:r>
      <w:r w:rsidR="000A6559">
        <w:t>ve</w:t>
      </w:r>
      <w:r>
        <w:t xml:space="preserve"> been integrated into the TNM. Note how the grade splits </w:t>
      </w:r>
      <w:r w:rsidRPr="003C237B">
        <w:t>the T</w:t>
      </w:r>
      <w:r>
        <w:t xml:space="preserve"> and </w:t>
      </w:r>
      <w:r w:rsidR="004F3CCE">
        <w:t>N survival curve.</w:t>
      </w:r>
      <w:r w:rsidR="0069116C">
        <w:t xml:space="preserve"> </w:t>
      </w:r>
      <w:r w:rsidR="006D77DE">
        <w:t>T1</w:t>
      </w:r>
      <w:r w:rsidRPr="003C237B">
        <w:t>N0 indicates stage I, which implies a survival of greater than 75% at 5 years according</w:t>
      </w:r>
      <w:r w:rsidRPr="00874181">
        <w:rPr>
          <w:u w:val="single"/>
        </w:rPr>
        <w:t xml:space="preserve"> </w:t>
      </w:r>
      <w:r>
        <w:t xml:space="preserve">to TNM staging. Cases </w:t>
      </w:r>
      <w:r w:rsidR="004B2B3A">
        <w:t>labeled T1N0, grade 1 and T1N</w:t>
      </w:r>
      <w:r>
        <w:t>0, grade 3 are significantly different f</w:t>
      </w:r>
      <w:r w:rsidR="004B2B3A">
        <w:t xml:space="preserve">rom </w:t>
      </w:r>
      <w:r w:rsidR="004B2B3A">
        <w:lastRenderedPageBreak/>
        <w:t>T1</w:t>
      </w:r>
      <w:r>
        <w:t xml:space="preserve">N0, grade 2 cases and from </w:t>
      </w:r>
      <w:r w:rsidR="004B2B3A">
        <w:t>overall T1</w:t>
      </w:r>
      <w:r w:rsidR="004F3CCE">
        <w:t>N0</w:t>
      </w:r>
      <w:r>
        <w:t xml:space="preserve"> cases according to 95% confidence limits. Cases l</w:t>
      </w:r>
      <w:r>
        <w:t>a</w:t>
      </w:r>
      <w:r w:rsidR="004B2B3A">
        <w:t>beled T1</w:t>
      </w:r>
      <w:r>
        <w:t>N0, grade 2 are not significantly di</w:t>
      </w:r>
      <w:r w:rsidR="004B2B3A">
        <w:t>fferent from cases assigned T1</w:t>
      </w:r>
      <w:r>
        <w:t>N0 only.</w:t>
      </w:r>
      <w:r w:rsidR="0069116C">
        <w:t xml:space="preserve"> </w:t>
      </w:r>
      <w:r w:rsidR="004B2B3A">
        <w:t>T1</w:t>
      </w:r>
      <w:r>
        <w:t xml:space="preserve">N0, </w:t>
      </w:r>
      <w:r w:rsidR="004F3CCE">
        <w:t xml:space="preserve">grade 3 is comparable to </w:t>
      </w:r>
      <w:r>
        <w:t>stage II, which has a survival of 50%-</w:t>
      </w:r>
      <w:r w:rsidRPr="0045379C">
        <w:t xml:space="preserve">74%. Thus, </w:t>
      </w:r>
      <w:r>
        <w:t xml:space="preserve">integrating </w:t>
      </w:r>
      <w:r w:rsidRPr="0045379C">
        <w:t>the histological</w:t>
      </w:r>
      <w:r>
        <w:t xml:space="preserve"> </w:t>
      </w:r>
      <w:r w:rsidRPr="0045379C">
        <w:t>grade</w:t>
      </w:r>
      <w:r>
        <w:t xml:space="preserve"> into </w:t>
      </w:r>
      <w:r w:rsidR="004B2B3A">
        <w:t>the TNM not only splits the T1</w:t>
      </w:r>
      <w:r>
        <w:t>N0 survival rate for lung cancer, but also</w:t>
      </w:r>
      <w:r w:rsidR="004F3CCE">
        <w:t xml:space="preserve"> may change</w:t>
      </w:r>
      <w:r w:rsidRPr="0045379C">
        <w:t xml:space="preserve"> the AJCC stage assignment.</w:t>
      </w:r>
      <w:r w:rsidR="0069116C">
        <w:t xml:space="preserve"> </w:t>
      </w:r>
      <w:r>
        <w:t>Data were SEER lung cancer cases for 1992-2001 for men with a</w:t>
      </w:r>
      <w:r>
        <w:t>d</w:t>
      </w:r>
      <w:r>
        <w:t>enocarcinomas only.</w:t>
      </w:r>
      <w:r w:rsidR="004B2B3A">
        <w:t xml:space="preserve"> S</w:t>
      </w:r>
      <w:r w:rsidR="009D6D3C">
        <w:t>urvival rates were calculated by the Kaplan-Meier procedure.</w:t>
      </w:r>
    </w:p>
    <w:p w:rsidR="009D6D3C" w:rsidRDefault="009D6D3C" w:rsidP="008F29DB">
      <w:pPr>
        <w:ind w:firstLine="0"/>
      </w:pPr>
    </w:p>
    <w:sectPr w:rsidR="009D6D3C" w:rsidSect="0083171B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B0A" w:rsidRDefault="004E4B0A" w:rsidP="00A40E1E">
      <w:r>
        <w:separator/>
      </w:r>
    </w:p>
  </w:endnote>
  <w:endnote w:type="continuationSeparator" w:id="0">
    <w:p w:rsidR="004E4B0A" w:rsidRDefault="004E4B0A" w:rsidP="00A40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OOWN I+ CM R 17">
    <w:altName w:val="Arial Unicode MS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B0A" w:rsidRDefault="004E4B0A" w:rsidP="00A40E1E">
      <w:r>
        <w:separator/>
      </w:r>
    </w:p>
  </w:footnote>
  <w:footnote w:type="continuationSeparator" w:id="0">
    <w:p w:rsidR="004E4B0A" w:rsidRDefault="004E4B0A" w:rsidP="00A40E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E84" w:rsidRDefault="00856E84" w:rsidP="00FE4EEF">
    <w:pPr>
      <w:pStyle w:val="NoSpacing"/>
      <w:jc w:val="right"/>
    </w:pPr>
    <w:r>
      <w:t>Expanding the TNM</w:t>
    </w:r>
  </w:p>
  <w:p w:rsidR="00856E84" w:rsidRDefault="00856E84" w:rsidP="00FE4EEF">
    <w:pPr>
      <w:pStyle w:val="NoSpacing"/>
      <w:jc w:val="right"/>
    </w:pPr>
    <w:r>
      <w:t xml:space="preserve">Page </w:t>
    </w:r>
    <w:r w:rsidR="005C034C">
      <w:fldChar w:fldCharType="begin"/>
    </w:r>
    <w:r w:rsidR="00D24D19">
      <w:instrText xml:space="preserve"> PAGE   \* MERGEFORMAT </w:instrText>
    </w:r>
    <w:r w:rsidR="005C034C">
      <w:fldChar w:fldCharType="separate"/>
    </w:r>
    <w:r w:rsidR="001E5A64">
      <w:rPr>
        <w:noProof/>
      </w:rPr>
      <w:t>9</w:t>
    </w:r>
    <w:r w:rsidR="005C034C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5C879E"/>
    <w:multiLevelType w:val="hybridMultilevel"/>
    <w:tmpl w:val="02BF70F4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10C9353B"/>
    <w:multiLevelType w:val="hybridMultilevel"/>
    <w:tmpl w:val="15B410A4"/>
    <w:lvl w:ilvl="0" w:tplc="D52A38D4">
      <w:start w:val="1"/>
      <w:numFmt w:val="decimal"/>
      <w:pStyle w:val="Subtitle"/>
      <w:lvlText w:val="%1."/>
      <w:lvlJc w:val="left"/>
      <w:pPr>
        <w:ind w:left="63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7529FE"/>
    <w:multiLevelType w:val="hybridMultilevel"/>
    <w:tmpl w:val="77C42EFC"/>
    <w:lvl w:ilvl="0" w:tplc="0409000F">
      <w:start w:val="1"/>
      <w:numFmt w:val="decimal"/>
      <w:lvlText w:val="%1."/>
      <w:lvlJc w:val="left"/>
      <w:pPr>
        <w:ind w:left="9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3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62" w:hanging="180"/>
      </w:pPr>
      <w:rPr>
        <w:rFonts w:cs="Times New Roman"/>
      </w:rPr>
    </w:lvl>
  </w:abstractNum>
  <w:abstractNum w:abstractNumId="3">
    <w:nsid w:val="35A118FC"/>
    <w:multiLevelType w:val="hybridMultilevel"/>
    <w:tmpl w:val="25DA7E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1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7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  <w:rPr>
        <w:rFonts w:cs="Times New Roman"/>
      </w:rPr>
    </w:lvl>
  </w:abstractNum>
  <w:abstractNum w:abstractNumId="4">
    <w:nsid w:val="63B13D42"/>
    <w:multiLevelType w:val="hybridMultilevel"/>
    <w:tmpl w:val="B7D01B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autoHyphenation/>
  <w:hyphenationZone w:val="14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CDB"/>
    <w:rsid w:val="000001A4"/>
    <w:rsid w:val="000029F1"/>
    <w:rsid w:val="00002B3D"/>
    <w:rsid w:val="00004E15"/>
    <w:rsid w:val="000061D5"/>
    <w:rsid w:val="000067E2"/>
    <w:rsid w:val="000149A8"/>
    <w:rsid w:val="00017856"/>
    <w:rsid w:val="000201F0"/>
    <w:rsid w:val="000205B4"/>
    <w:rsid w:val="00021BF3"/>
    <w:rsid w:val="000226D9"/>
    <w:rsid w:val="000233DC"/>
    <w:rsid w:val="000236BA"/>
    <w:rsid w:val="00024837"/>
    <w:rsid w:val="000277BD"/>
    <w:rsid w:val="00027A4C"/>
    <w:rsid w:val="000300B9"/>
    <w:rsid w:val="00032F42"/>
    <w:rsid w:val="00036B30"/>
    <w:rsid w:val="000410F6"/>
    <w:rsid w:val="00042BA5"/>
    <w:rsid w:val="00046E0D"/>
    <w:rsid w:val="00051C68"/>
    <w:rsid w:val="000541EA"/>
    <w:rsid w:val="00061523"/>
    <w:rsid w:val="00061CEF"/>
    <w:rsid w:val="00067AB4"/>
    <w:rsid w:val="0007050C"/>
    <w:rsid w:val="00070DF3"/>
    <w:rsid w:val="000743B5"/>
    <w:rsid w:val="0007608B"/>
    <w:rsid w:val="000833FD"/>
    <w:rsid w:val="00084F33"/>
    <w:rsid w:val="00085812"/>
    <w:rsid w:val="00087B11"/>
    <w:rsid w:val="000965C9"/>
    <w:rsid w:val="000A147A"/>
    <w:rsid w:val="000A2DCB"/>
    <w:rsid w:val="000A3FD3"/>
    <w:rsid w:val="000A486E"/>
    <w:rsid w:val="000A54FB"/>
    <w:rsid w:val="000A55F5"/>
    <w:rsid w:val="000A6559"/>
    <w:rsid w:val="000A7CAA"/>
    <w:rsid w:val="000B1D00"/>
    <w:rsid w:val="000B45CB"/>
    <w:rsid w:val="000B64D2"/>
    <w:rsid w:val="000B79A8"/>
    <w:rsid w:val="000C3DBB"/>
    <w:rsid w:val="000C5238"/>
    <w:rsid w:val="000C7380"/>
    <w:rsid w:val="000C7731"/>
    <w:rsid w:val="000D132F"/>
    <w:rsid w:val="000D1962"/>
    <w:rsid w:val="000D3F28"/>
    <w:rsid w:val="000D43B4"/>
    <w:rsid w:val="000D51D5"/>
    <w:rsid w:val="000D5CA9"/>
    <w:rsid w:val="000E3398"/>
    <w:rsid w:val="000E435D"/>
    <w:rsid w:val="000E772E"/>
    <w:rsid w:val="000F09EE"/>
    <w:rsid w:val="000F1131"/>
    <w:rsid w:val="000F29F0"/>
    <w:rsid w:val="000F34DC"/>
    <w:rsid w:val="000F4FA0"/>
    <w:rsid w:val="000F66A3"/>
    <w:rsid w:val="001016C7"/>
    <w:rsid w:val="00104DAE"/>
    <w:rsid w:val="001070BA"/>
    <w:rsid w:val="00110F48"/>
    <w:rsid w:val="0011562A"/>
    <w:rsid w:val="00117B84"/>
    <w:rsid w:val="00117E77"/>
    <w:rsid w:val="001225B7"/>
    <w:rsid w:val="00126649"/>
    <w:rsid w:val="001309CE"/>
    <w:rsid w:val="00131823"/>
    <w:rsid w:val="001334D8"/>
    <w:rsid w:val="00137DD8"/>
    <w:rsid w:val="00137E04"/>
    <w:rsid w:val="00140496"/>
    <w:rsid w:val="001428E6"/>
    <w:rsid w:val="001463F5"/>
    <w:rsid w:val="00147C4A"/>
    <w:rsid w:val="00147CBE"/>
    <w:rsid w:val="00151E32"/>
    <w:rsid w:val="001550EE"/>
    <w:rsid w:val="00155792"/>
    <w:rsid w:val="00156383"/>
    <w:rsid w:val="00157E90"/>
    <w:rsid w:val="00160CF8"/>
    <w:rsid w:val="00161468"/>
    <w:rsid w:val="00161B3B"/>
    <w:rsid w:val="0016284E"/>
    <w:rsid w:val="00162DD7"/>
    <w:rsid w:val="00163305"/>
    <w:rsid w:val="00163A95"/>
    <w:rsid w:val="00164E29"/>
    <w:rsid w:val="00165AB9"/>
    <w:rsid w:val="00166296"/>
    <w:rsid w:val="00166674"/>
    <w:rsid w:val="001672AB"/>
    <w:rsid w:val="001703FB"/>
    <w:rsid w:val="001704A7"/>
    <w:rsid w:val="00170C75"/>
    <w:rsid w:val="00171422"/>
    <w:rsid w:val="001736C9"/>
    <w:rsid w:val="00174BE7"/>
    <w:rsid w:val="00175F13"/>
    <w:rsid w:val="00180607"/>
    <w:rsid w:val="00180959"/>
    <w:rsid w:val="00180E76"/>
    <w:rsid w:val="00182D8E"/>
    <w:rsid w:val="001837B5"/>
    <w:rsid w:val="00184ACF"/>
    <w:rsid w:val="00185B54"/>
    <w:rsid w:val="00187D60"/>
    <w:rsid w:val="00190089"/>
    <w:rsid w:val="0019032A"/>
    <w:rsid w:val="0019197A"/>
    <w:rsid w:val="00193004"/>
    <w:rsid w:val="00193E43"/>
    <w:rsid w:val="001962EC"/>
    <w:rsid w:val="00196D6A"/>
    <w:rsid w:val="0019719F"/>
    <w:rsid w:val="0019760F"/>
    <w:rsid w:val="001A124D"/>
    <w:rsid w:val="001A2012"/>
    <w:rsid w:val="001A3DDA"/>
    <w:rsid w:val="001A3EAC"/>
    <w:rsid w:val="001A67BD"/>
    <w:rsid w:val="001B5DF2"/>
    <w:rsid w:val="001B64A8"/>
    <w:rsid w:val="001B64C4"/>
    <w:rsid w:val="001B7A8A"/>
    <w:rsid w:val="001B7D0F"/>
    <w:rsid w:val="001C4734"/>
    <w:rsid w:val="001C53BB"/>
    <w:rsid w:val="001D2076"/>
    <w:rsid w:val="001D42FE"/>
    <w:rsid w:val="001D46A4"/>
    <w:rsid w:val="001D56F1"/>
    <w:rsid w:val="001D5715"/>
    <w:rsid w:val="001D7674"/>
    <w:rsid w:val="001D7FAD"/>
    <w:rsid w:val="001E0BA6"/>
    <w:rsid w:val="001E2FA7"/>
    <w:rsid w:val="001E3DB3"/>
    <w:rsid w:val="001E4D13"/>
    <w:rsid w:val="001E4E07"/>
    <w:rsid w:val="001E5A64"/>
    <w:rsid w:val="001F0029"/>
    <w:rsid w:val="001F3985"/>
    <w:rsid w:val="001F437E"/>
    <w:rsid w:val="001F7F69"/>
    <w:rsid w:val="00205C59"/>
    <w:rsid w:val="0021258A"/>
    <w:rsid w:val="002168DE"/>
    <w:rsid w:val="00220CBE"/>
    <w:rsid w:val="00220ED8"/>
    <w:rsid w:val="002212F5"/>
    <w:rsid w:val="00224279"/>
    <w:rsid w:val="00224A58"/>
    <w:rsid w:val="00224C4F"/>
    <w:rsid w:val="00232B8A"/>
    <w:rsid w:val="00232F3E"/>
    <w:rsid w:val="00234399"/>
    <w:rsid w:val="00240C04"/>
    <w:rsid w:val="00241A29"/>
    <w:rsid w:val="00243300"/>
    <w:rsid w:val="00245AAE"/>
    <w:rsid w:val="00252B08"/>
    <w:rsid w:val="0025693D"/>
    <w:rsid w:val="0025699D"/>
    <w:rsid w:val="00260904"/>
    <w:rsid w:val="00260F48"/>
    <w:rsid w:val="00262E30"/>
    <w:rsid w:val="00265261"/>
    <w:rsid w:val="0026770F"/>
    <w:rsid w:val="002712D6"/>
    <w:rsid w:val="0027189B"/>
    <w:rsid w:val="00272099"/>
    <w:rsid w:val="0027486A"/>
    <w:rsid w:val="0028283E"/>
    <w:rsid w:val="00283270"/>
    <w:rsid w:val="002847D9"/>
    <w:rsid w:val="00285B6D"/>
    <w:rsid w:val="00287988"/>
    <w:rsid w:val="002901F4"/>
    <w:rsid w:val="002928B8"/>
    <w:rsid w:val="00293C92"/>
    <w:rsid w:val="00294C29"/>
    <w:rsid w:val="00296553"/>
    <w:rsid w:val="00296F05"/>
    <w:rsid w:val="00297070"/>
    <w:rsid w:val="00297866"/>
    <w:rsid w:val="002979A2"/>
    <w:rsid w:val="002979F1"/>
    <w:rsid w:val="002A06EE"/>
    <w:rsid w:val="002A2466"/>
    <w:rsid w:val="002A40F6"/>
    <w:rsid w:val="002A4C9D"/>
    <w:rsid w:val="002A66B6"/>
    <w:rsid w:val="002A7E02"/>
    <w:rsid w:val="002B1427"/>
    <w:rsid w:val="002B28E9"/>
    <w:rsid w:val="002B2FD2"/>
    <w:rsid w:val="002B4088"/>
    <w:rsid w:val="002B4D39"/>
    <w:rsid w:val="002B4E33"/>
    <w:rsid w:val="002B54CF"/>
    <w:rsid w:val="002B57F1"/>
    <w:rsid w:val="002B5B01"/>
    <w:rsid w:val="002B6A08"/>
    <w:rsid w:val="002C03AB"/>
    <w:rsid w:val="002C2BCA"/>
    <w:rsid w:val="002C3F3E"/>
    <w:rsid w:val="002C4DBC"/>
    <w:rsid w:val="002C5586"/>
    <w:rsid w:val="002D263C"/>
    <w:rsid w:val="002D3659"/>
    <w:rsid w:val="002E0D8C"/>
    <w:rsid w:val="002E1BAA"/>
    <w:rsid w:val="002E2001"/>
    <w:rsid w:val="002E2828"/>
    <w:rsid w:val="002E63D1"/>
    <w:rsid w:val="002E71BD"/>
    <w:rsid w:val="002E7844"/>
    <w:rsid w:val="002F1706"/>
    <w:rsid w:val="002F2E91"/>
    <w:rsid w:val="002F3829"/>
    <w:rsid w:val="002F4922"/>
    <w:rsid w:val="002F4B0E"/>
    <w:rsid w:val="0030023C"/>
    <w:rsid w:val="0030286A"/>
    <w:rsid w:val="00306C16"/>
    <w:rsid w:val="003074E5"/>
    <w:rsid w:val="00315112"/>
    <w:rsid w:val="003153AC"/>
    <w:rsid w:val="00315F31"/>
    <w:rsid w:val="00320F96"/>
    <w:rsid w:val="0032386D"/>
    <w:rsid w:val="00325455"/>
    <w:rsid w:val="00326922"/>
    <w:rsid w:val="0033455F"/>
    <w:rsid w:val="00335B17"/>
    <w:rsid w:val="00336C74"/>
    <w:rsid w:val="0034328B"/>
    <w:rsid w:val="0034412A"/>
    <w:rsid w:val="00346799"/>
    <w:rsid w:val="00347460"/>
    <w:rsid w:val="00347E05"/>
    <w:rsid w:val="00351640"/>
    <w:rsid w:val="003519C8"/>
    <w:rsid w:val="00353C17"/>
    <w:rsid w:val="0035612A"/>
    <w:rsid w:val="00356B17"/>
    <w:rsid w:val="0036004A"/>
    <w:rsid w:val="0036099D"/>
    <w:rsid w:val="00360B21"/>
    <w:rsid w:val="00361C6C"/>
    <w:rsid w:val="00365B89"/>
    <w:rsid w:val="00371866"/>
    <w:rsid w:val="003757EC"/>
    <w:rsid w:val="003778E1"/>
    <w:rsid w:val="00377F40"/>
    <w:rsid w:val="00382765"/>
    <w:rsid w:val="003847E3"/>
    <w:rsid w:val="00387FB4"/>
    <w:rsid w:val="00390763"/>
    <w:rsid w:val="003907CD"/>
    <w:rsid w:val="00394E6A"/>
    <w:rsid w:val="003A0FAB"/>
    <w:rsid w:val="003A1209"/>
    <w:rsid w:val="003A38BB"/>
    <w:rsid w:val="003A3ADD"/>
    <w:rsid w:val="003A4710"/>
    <w:rsid w:val="003A4A51"/>
    <w:rsid w:val="003A5C3F"/>
    <w:rsid w:val="003A6DBC"/>
    <w:rsid w:val="003A74A8"/>
    <w:rsid w:val="003B126B"/>
    <w:rsid w:val="003B2826"/>
    <w:rsid w:val="003B2A82"/>
    <w:rsid w:val="003B5170"/>
    <w:rsid w:val="003B6E96"/>
    <w:rsid w:val="003B75EF"/>
    <w:rsid w:val="003C05C5"/>
    <w:rsid w:val="003C1ADF"/>
    <w:rsid w:val="003C1EB4"/>
    <w:rsid w:val="003C213C"/>
    <w:rsid w:val="003C237B"/>
    <w:rsid w:val="003C3396"/>
    <w:rsid w:val="003C4B93"/>
    <w:rsid w:val="003C4DB8"/>
    <w:rsid w:val="003C6C66"/>
    <w:rsid w:val="003D0DFA"/>
    <w:rsid w:val="003D3FF3"/>
    <w:rsid w:val="003E0C78"/>
    <w:rsid w:val="003E0C7D"/>
    <w:rsid w:val="003E11D9"/>
    <w:rsid w:val="003E4284"/>
    <w:rsid w:val="003E4D24"/>
    <w:rsid w:val="003E62DA"/>
    <w:rsid w:val="003E6D71"/>
    <w:rsid w:val="003E70C3"/>
    <w:rsid w:val="003E7436"/>
    <w:rsid w:val="003F184E"/>
    <w:rsid w:val="003F54FE"/>
    <w:rsid w:val="003F6191"/>
    <w:rsid w:val="003F6A12"/>
    <w:rsid w:val="004022E9"/>
    <w:rsid w:val="00402622"/>
    <w:rsid w:val="00402D78"/>
    <w:rsid w:val="00404514"/>
    <w:rsid w:val="00405FB4"/>
    <w:rsid w:val="00406295"/>
    <w:rsid w:val="00407982"/>
    <w:rsid w:val="00407F2F"/>
    <w:rsid w:val="00422FF8"/>
    <w:rsid w:val="00424CC5"/>
    <w:rsid w:val="00424F3F"/>
    <w:rsid w:val="004254A0"/>
    <w:rsid w:val="004300D1"/>
    <w:rsid w:val="00432072"/>
    <w:rsid w:val="00434004"/>
    <w:rsid w:val="00434223"/>
    <w:rsid w:val="0043460C"/>
    <w:rsid w:val="00434AFE"/>
    <w:rsid w:val="004359B9"/>
    <w:rsid w:val="00436DB6"/>
    <w:rsid w:val="00440111"/>
    <w:rsid w:val="00445C95"/>
    <w:rsid w:val="0045060C"/>
    <w:rsid w:val="0045379C"/>
    <w:rsid w:val="0045673D"/>
    <w:rsid w:val="00461BB1"/>
    <w:rsid w:val="00465B36"/>
    <w:rsid w:val="00470D91"/>
    <w:rsid w:val="00471FBE"/>
    <w:rsid w:val="00473740"/>
    <w:rsid w:val="00474520"/>
    <w:rsid w:val="00476C01"/>
    <w:rsid w:val="00476FF2"/>
    <w:rsid w:val="00481CFA"/>
    <w:rsid w:val="00481F6C"/>
    <w:rsid w:val="00482F06"/>
    <w:rsid w:val="00485C27"/>
    <w:rsid w:val="0048600F"/>
    <w:rsid w:val="00490284"/>
    <w:rsid w:val="00491177"/>
    <w:rsid w:val="00491848"/>
    <w:rsid w:val="004935E7"/>
    <w:rsid w:val="004941D3"/>
    <w:rsid w:val="004951BA"/>
    <w:rsid w:val="0049687C"/>
    <w:rsid w:val="0049691A"/>
    <w:rsid w:val="004A0357"/>
    <w:rsid w:val="004A0440"/>
    <w:rsid w:val="004B02C7"/>
    <w:rsid w:val="004B1969"/>
    <w:rsid w:val="004B2B3A"/>
    <w:rsid w:val="004B3790"/>
    <w:rsid w:val="004B51B2"/>
    <w:rsid w:val="004B7076"/>
    <w:rsid w:val="004C0F0F"/>
    <w:rsid w:val="004C3387"/>
    <w:rsid w:val="004C389D"/>
    <w:rsid w:val="004C3E8D"/>
    <w:rsid w:val="004C3EFE"/>
    <w:rsid w:val="004C42BF"/>
    <w:rsid w:val="004C5D73"/>
    <w:rsid w:val="004C6829"/>
    <w:rsid w:val="004D3B93"/>
    <w:rsid w:val="004D7CF0"/>
    <w:rsid w:val="004E226B"/>
    <w:rsid w:val="004E3460"/>
    <w:rsid w:val="004E44BD"/>
    <w:rsid w:val="004E4B0A"/>
    <w:rsid w:val="004E783B"/>
    <w:rsid w:val="004F1308"/>
    <w:rsid w:val="004F231B"/>
    <w:rsid w:val="004F3CCE"/>
    <w:rsid w:val="004F3DC0"/>
    <w:rsid w:val="004F559E"/>
    <w:rsid w:val="004F627F"/>
    <w:rsid w:val="00500F57"/>
    <w:rsid w:val="00502003"/>
    <w:rsid w:val="00506CEB"/>
    <w:rsid w:val="005075E5"/>
    <w:rsid w:val="0050761A"/>
    <w:rsid w:val="00511D88"/>
    <w:rsid w:val="0051223C"/>
    <w:rsid w:val="00513E97"/>
    <w:rsid w:val="0051479E"/>
    <w:rsid w:val="005151BB"/>
    <w:rsid w:val="00516344"/>
    <w:rsid w:val="00520309"/>
    <w:rsid w:val="00520E12"/>
    <w:rsid w:val="005215ED"/>
    <w:rsid w:val="00525CD2"/>
    <w:rsid w:val="00526689"/>
    <w:rsid w:val="005318B0"/>
    <w:rsid w:val="005342DA"/>
    <w:rsid w:val="005343CD"/>
    <w:rsid w:val="005344D5"/>
    <w:rsid w:val="00534EB1"/>
    <w:rsid w:val="00536B85"/>
    <w:rsid w:val="005374A2"/>
    <w:rsid w:val="00537509"/>
    <w:rsid w:val="005410B2"/>
    <w:rsid w:val="005418F7"/>
    <w:rsid w:val="00542D58"/>
    <w:rsid w:val="00544523"/>
    <w:rsid w:val="00545586"/>
    <w:rsid w:val="00550FE6"/>
    <w:rsid w:val="00551015"/>
    <w:rsid w:val="00555343"/>
    <w:rsid w:val="0056068C"/>
    <w:rsid w:val="00561D2F"/>
    <w:rsid w:val="00567EBB"/>
    <w:rsid w:val="0057057A"/>
    <w:rsid w:val="00571B0F"/>
    <w:rsid w:val="00572CC0"/>
    <w:rsid w:val="00574B43"/>
    <w:rsid w:val="005760C0"/>
    <w:rsid w:val="00581570"/>
    <w:rsid w:val="0058297C"/>
    <w:rsid w:val="005830E9"/>
    <w:rsid w:val="00583292"/>
    <w:rsid w:val="0058718E"/>
    <w:rsid w:val="00587AB2"/>
    <w:rsid w:val="005922C4"/>
    <w:rsid w:val="005922DC"/>
    <w:rsid w:val="00593A6B"/>
    <w:rsid w:val="00597408"/>
    <w:rsid w:val="00597680"/>
    <w:rsid w:val="005A13C4"/>
    <w:rsid w:val="005A413A"/>
    <w:rsid w:val="005A4652"/>
    <w:rsid w:val="005A7636"/>
    <w:rsid w:val="005B04E0"/>
    <w:rsid w:val="005B06CC"/>
    <w:rsid w:val="005B3BDD"/>
    <w:rsid w:val="005B5BA1"/>
    <w:rsid w:val="005B7D8C"/>
    <w:rsid w:val="005C034C"/>
    <w:rsid w:val="005C0CCD"/>
    <w:rsid w:val="005C14A7"/>
    <w:rsid w:val="005C4B16"/>
    <w:rsid w:val="005C54AE"/>
    <w:rsid w:val="005D159E"/>
    <w:rsid w:val="005D5320"/>
    <w:rsid w:val="005D5751"/>
    <w:rsid w:val="005E092F"/>
    <w:rsid w:val="005E13A0"/>
    <w:rsid w:val="005E18CD"/>
    <w:rsid w:val="005E5015"/>
    <w:rsid w:val="005E6487"/>
    <w:rsid w:val="005E70E9"/>
    <w:rsid w:val="005F03FF"/>
    <w:rsid w:val="005F2F16"/>
    <w:rsid w:val="005F4006"/>
    <w:rsid w:val="005F54B1"/>
    <w:rsid w:val="005F6C6D"/>
    <w:rsid w:val="005F7FEA"/>
    <w:rsid w:val="00600FA7"/>
    <w:rsid w:val="0060238F"/>
    <w:rsid w:val="00603023"/>
    <w:rsid w:val="0060593C"/>
    <w:rsid w:val="00606A4B"/>
    <w:rsid w:val="00610518"/>
    <w:rsid w:val="00610BEA"/>
    <w:rsid w:val="00611994"/>
    <w:rsid w:val="00613165"/>
    <w:rsid w:val="00613BB5"/>
    <w:rsid w:val="00615A5D"/>
    <w:rsid w:val="00617B55"/>
    <w:rsid w:val="006201A6"/>
    <w:rsid w:val="00621B19"/>
    <w:rsid w:val="00622BC6"/>
    <w:rsid w:val="0062468E"/>
    <w:rsid w:val="0062483F"/>
    <w:rsid w:val="006260D6"/>
    <w:rsid w:val="00627315"/>
    <w:rsid w:val="006274D9"/>
    <w:rsid w:val="00627B46"/>
    <w:rsid w:val="00627DD9"/>
    <w:rsid w:val="00633BC5"/>
    <w:rsid w:val="0063556D"/>
    <w:rsid w:val="00636CDB"/>
    <w:rsid w:val="00641C61"/>
    <w:rsid w:val="006429F5"/>
    <w:rsid w:val="006443B4"/>
    <w:rsid w:val="00646E70"/>
    <w:rsid w:val="006471B5"/>
    <w:rsid w:val="00647711"/>
    <w:rsid w:val="00650588"/>
    <w:rsid w:val="006506B0"/>
    <w:rsid w:val="00652C67"/>
    <w:rsid w:val="006578D2"/>
    <w:rsid w:val="00660F80"/>
    <w:rsid w:val="00662FBE"/>
    <w:rsid w:val="006645FB"/>
    <w:rsid w:val="00664E90"/>
    <w:rsid w:val="00665358"/>
    <w:rsid w:val="0067219E"/>
    <w:rsid w:val="00672A9B"/>
    <w:rsid w:val="006732A0"/>
    <w:rsid w:val="00673CD4"/>
    <w:rsid w:val="00674CE4"/>
    <w:rsid w:val="00674DAB"/>
    <w:rsid w:val="00675A99"/>
    <w:rsid w:val="00675BAE"/>
    <w:rsid w:val="00677735"/>
    <w:rsid w:val="006800F0"/>
    <w:rsid w:val="006805FC"/>
    <w:rsid w:val="00681E0E"/>
    <w:rsid w:val="006838C8"/>
    <w:rsid w:val="00684EB2"/>
    <w:rsid w:val="00686419"/>
    <w:rsid w:val="0068742C"/>
    <w:rsid w:val="00690841"/>
    <w:rsid w:val="00690D1D"/>
    <w:rsid w:val="0069116C"/>
    <w:rsid w:val="00691875"/>
    <w:rsid w:val="00693E81"/>
    <w:rsid w:val="00695B9B"/>
    <w:rsid w:val="00697A47"/>
    <w:rsid w:val="006A116E"/>
    <w:rsid w:val="006A4988"/>
    <w:rsid w:val="006A4C6E"/>
    <w:rsid w:val="006A6562"/>
    <w:rsid w:val="006B0786"/>
    <w:rsid w:val="006B202A"/>
    <w:rsid w:val="006B223B"/>
    <w:rsid w:val="006B38C6"/>
    <w:rsid w:val="006B3FB8"/>
    <w:rsid w:val="006B44B6"/>
    <w:rsid w:val="006B4B4C"/>
    <w:rsid w:val="006B636A"/>
    <w:rsid w:val="006B697D"/>
    <w:rsid w:val="006B7D8A"/>
    <w:rsid w:val="006C1D8D"/>
    <w:rsid w:val="006C2AA9"/>
    <w:rsid w:val="006C4190"/>
    <w:rsid w:val="006C5CE4"/>
    <w:rsid w:val="006D0305"/>
    <w:rsid w:val="006D0E85"/>
    <w:rsid w:val="006D17CC"/>
    <w:rsid w:val="006D21D2"/>
    <w:rsid w:val="006D2C1D"/>
    <w:rsid w:val="006D308D"/>
    <w:rsid w:val="006D5C24"/>
    <w:rsid w:val="006D77DE"/>
    <w:rsid w:val="006E28D1"/>
    <w:rsid w:val="006E34A4"/>
    <w:rsid w:val="006E516B"/>
    <w:rsid w:val="006E6F0C"/>
    <w:rsid w:val="006F2C5A"/>
    <w:rsid w:val="006F2F2C"/>
    <w:rsid w:val="006F3045"/>
    <w:rsid w:val="006F6F25"/>
    <w:rsid w:val="006F7640"/>
    <w:rsid w:val="00700008"/>
    <w:rsid w:val="00700668"/>
    <w:rsid w:val="00701AC9"/>
    <w:rsid w:val="0070208C"/>
    <w:rsid w:val="007029C5"/>
    <w:rsid w:val="00703EF5"/>
    <w:rsid w:val="007042E6"/>
    <w:rsid w:val="00705732"/>
    <w:rsid w:val="007059D1"/>
    <w:rsid w:val="0070680C"/>
    <w:rsid w:val="00707762"/>
    <w:rsid w:val="0071121F"/>
    <w:rsid w:val="00712237"/>
    <w:rsid w:val="00713108"/>
    <w:rsid w:val="00717D4E"/>
    <w:rsid w:val="00720329"/>
    <w:rsid w:val="00722D02"/>
    <w:rsid w:val="0072351E"/>
    <w:rsid w:val="00723523"/>
    <w:rsid w:val="007237D8"/>
    <w:rsid w:val="00723E3C"/>
    <w:rsid w:val="00726D4D"/>
    <w:rsid w:val="00727DF6"/>
    <w:rsid w:val="00727F35"/>
    <w:rsid w:val="007307E2"/>
    <w:rsid w:val="00732557"/>
    <w:rsid w:val="007326DF"/>
    <w:rsid w:val="00733756"/>
    <w:rsid w:val="00733825"/>
    <w:rsid w:val="0074328D"/>
    <w:rsid w:val="00746CDA"/>
    <w:rsid w:val="00746CE1"/>
    <w:rsid w:val="00750030"/>
    <w:rsid w:val="00752BA0"/>
    <w:rsid w:val="00755D9C"/>
    <w:rsid w:val="00756FBF"/>
    <w:rsid w:val="0075717E"/>
    <w:rsid w:val="007577BD"/>
    <w:rsid w:val="007600D9"/>
    <w:rsid w:val="007610AC"/>
    <w:rsid w:val="007671E9"/>
    <w:rsid w:val="00767373"/>
    <w:rsid w:val="00772D69"/>
    <w:rsid w:val="007738FD"/>
    <w:rsid w:val="00775C25"/>
    <w:rsid w:val="00777B88"/>
    <w:rsid w:val="00780B5D"/>
    <w:rsid w:val="00780C59"/>
    <w:rsid w:val="00783015"/>
    <w:rsid w:val="00783D8D"/>
    <w:rsid w:val="007842C8"/>
    <w:rsid w:val="007855AD"/>
    <w:rsid w:val="0079038F"/>
    <w:rsid w:val="00792250"/>
    <w:rsid w:val="00792FD5"/>
    <w:rsid w:val="00793785"/>
    <w:rsid w:val="00793D34"/>
    <w:rsid w:val="00794E27"/>
    <w:rsid w:val="007A0380"/>
    <w:rsid w:val="007A09DD"/>
    <w:rsid w:val="007A0DB1"/>
    <w:rsid w:val="007A2660"/>
    <w:rsid w:val="007A28FA"/>
    <w:rsid w:val="007A29F4"/>
    <w:rsid w:val="007A3B02"/>
    <w:rsid w:val="007A5A9F"/>
    <w:rsid w:val="007A6B1F"/>
    <w:rsid w:val="007A74B8"/>
    <w:rsid w:val="007A7713"/>
    <w:rsid w:val="007B01F2"/>
    <w:rsid w:val="007B3682"/>
    <w:rsid w:val="007B517C"/>
    <w:rsid w:val="007C18C6"/>
    <w:rsid w:val="007C2242"/>
    <w:rsid w:val="007C24FD"/>
    <w:rsid w:val="007C5804"/>
    <w:rsid w:val="007C7EB3"/>
    <w:rsid w:val="007D0BBD"/>
    <w:rsid w:val="007D12E2"/>
    <w:rsid w:val="007D12F3"/>
    <w:rsid w:val="007D29E4"/>
    <w:rsid w:val="007D6420"/>
    <w:rsid w:val="007D6B9A"/>
    <w:rsid w:val="007D7FDE"/>
    <w:rsid w:val="007E05BB"/>
    <w:rsid w:val="007E2343"/>
    <w:rsid w:val="007E251D"/>
    <w:rsid w:val="007E4ECB"/>
    <w:rsid w:val="007E4FBC"/>
    <w:rsid w:val="007E5569"/>
    <w:rsid w:val="007E607A"/>
    <w:rsid w:val="007F1FC8"/>
    <w:rsid w:val="007F37C7"/>
    <w:rsid w:val="007F45A5"/>
    <w:rsid w:val="007F4602"/>
    <w:rsid w:val="007F4858"/>
    <w:rsid w:val="007F4BFB"/>
    <w:rsid w:val="007F4F85"/>
    <w:rsid w:val="007F5A93"/>
    <w:rsid w:val="007F6A3B"/>
    <w:rsid w:val="007F7C07"/>
    <w:rsid w:val="007F7DD1"/>
    <w:rsid w:val="007F7F3E"/>
    <w:rsid w:val="0080006B"/>
    <w:rsid w:val="0080048D"/>
    <w:rsid w:val="008028CD"/>
    <w:rsid w:val="00802934"/>
    <w:rsid w:val="00804009"/>
    <w:rsid w:val="00804ED0"/>
    <w:rsid w:val="0080650B"/>
    <w:rsid w:val="00806EA9"/>
    <w:rsid w:val="00811A70"/>
    <w:rsid w:val="00813EC2"/>
    <w:rsid w:val="00813F25"/>
    <w:rsid w:val="008143E5"/>
    <w:rsid w:val="00814CCF"/>
    <w:rsid w:val="008166FD"/>
    <w:rsid w:val="00817200"/>
    <w:rsid w:val="0082048F"/>
    <w:rsid w:val="008206A7"/>
    <w:rsid w:val="008216D4"/>
    <w:rsid w:val="008237C0"/>
    <w:rsid w:val="00825B41"/>
    <w:rsid w:val="00826300"/>
    <w:rsid w:val="00827656"/>
    <w:rsid w:val="00827839"/>
    <w:rsid w:val="0083171B"/>
    <w:rsid w:val="00832232"/>
    <w:rsid w:val="00835DD1"/>
    <w:rsid w:val="0083646C"/>
    <w:rsid w:val="00837056"/>
    <w:rsid w:val="00837784"/>
    <w:rsid w:val="00840192"/>
    <w:rsid w:val="00841B70"/>
    <w:rsid w:val="0084300E"/>
    <w:rsid w:val="0084309D"/>
    <w:rsid w:val="008438B2"/>
    <w:rsid w:val="0084531C"/>
    <w:rsid w:val="008457B6"/>
    <w:rsid w:val="00845F05"/>
    <w:rsid w:val="00846122"/>
    <w:rsid w:val="00847BC2"/>
    <w:rsid w:val="00850BAA"/>
    <w:rsid w:val="00854AF3"/>
    <w:rsid w:val="00855D03"/>
    <w:rsid w:val="00856E84"/>
    <w:rsid w:val="00861F8D"/>
    <w:rsid w:val="008628F3"/>
    <w:rsid w:val="00862ACC"/>
    <w:rsid w:val="00864FBE"/>
    <w:rsid w:val="008657A6"/>
    <w:rsid w:val="00871F5C"/>
    <w:rsid w:val="00872A10"/>
    <w:rsid w:val="00874181"/>
    <w:rsid w:val="00876869"/>
    <w:rsid w:val="00876BED"/>
    <w:rsid w:val="00876E21"/>
    <w:rsid w:val="00880C0F"/>
    <w:rsid w:val="00880D18"/>
    <w:rsid w:val="00882CAA"/>
    <w:rsid w:val="00882D87"/>
    <w:rsid w:val="00884446"/>
    <w:rsid w:val="00884818"/>
    <w:rsid w:val="00884954"/>
    <w:rsid w:val="00887EC2"/>
    <w:rsid w:val="008927D5"/>
    <w:rsid w:val="00892995"/>
    <w:rsid w:val="00892A9E"/>
    <w:rsid w:val="0089350B"/>
    <w:rsid w:val="00893817"/>
    <w:rsid w:val="00894B0B"/>
    <w:rsid w:val="008A0BBA"/>
    <w:rsid w:val="008A3ECD"/>
    <w:rsid w:val="008A4676"/>
    <w:rsid w:val="008A6AEE"/>
    <w:rsid w:val="008B2E74"/>
    <w:rsid w:val="008B39F7"/>
    <w:rsid w:val="008B6A30"/>
    <w:rsid w:val="008C3E06"/>
    <w:rsid w:val="008C57A1"/>
    <w:rsid w:val="008C7CAE"/>
    <w:rsid w:val="008D49E2"/>
    <w:rsid w:val="008D5D90"/>
    <w:rsid w:val="008E0C85"/>
    <w:rsid w:val="008E14A0"/>
    <w:rsid w:val="008E2168"/>
    <w:rsid w:val="008E25D3"/>
    <w:rsid w:val="008E3149"/>
    <w:rsid w:val="008E537E"/>
    <w:rsid w:val="008E58D0"/>
    <w:rsid w:val="008E5A47"/>
    <w:rsid w:val="008F1FED"/>
    <w:rsid w:val="008F2598"/>
    <w:rsid w:val="008F29DB"/>
    <w:rsid w:val="008F4B0D"/>
    <w:rsid w:val="008F4F8E"/>
    <w:rsid w:val="008F658B"/>
    <w:rsid w:val="009048C1"/>
    <w:rsid w:val="009061EA"/>
    <w:rsid w:val="00906328"/>
    <w:rsid w:val="00914FB1"/>
    <w:rsid w:val="0091577A"/>
    <w:rsid w:val="00915C05"/>
    <w:rsid w:val="00916150"/>
    <w:rsid w:val="00916936"/>
    <w:rsid w:val="009242D7"/>
    <w:rsid w:val="00925F2E"/>
    <w:rsid w:val="0092615F"/>
    <w:rsid w:val="00927A57"/>
    <w:rsid w:val="00930209"/>
    <w:rsid w:val="0093027E"/>
    <w:rsid w:val="00930AA4"/>
    <w:rsid w:val="00930FCE"/>
    <w:rsid w:val="009317A4"/>
    <w:rsid w:val="00931967"/>
    <w:rsid w:val="00933ED8"/>
    <w:rsid w:val="00934E8E"/>
    <w:rsid w:val="00935AD3"/>
    <w:rsid w:val="00935BBA"/>
    <w:rsid w:val="00937723"/>
    <w:rsid w:val="00937AAF"/>
    <w:rsid w:val="00937D4D"/>
    <w:rsid w:val="00941F70"/>
    <w:rsid w:val="00942066"/>
    <w:rsid w:val="0094576B"/>
    <w:rsid w:val="0095762B"/>
    <w:rsid w:val="00957DC6"/>
    <w:rsid w:val="009607A0"/>
    <w:rsid w:val="0096629F"/>
    <w:rsid w:val="00966C55"/>
    <w:rsid w:val="00967214"/>
    <w:rsid w:val="009724F7"/>
    <w:rsid w:val="00973E2F"/>
    <w:rsid w:val="00974686"/>
    <w:rsid w:val="00983719"/>
    <w:rsid w:val="0099093F"/>
    <w:rsid w:val="00990E71"/>
    <w:rsid w:val="00995E08"/>
    <w:rsid w:val="009A096A"/>
    <w:rsid w:val="009A0B2D"/>
    <w:rsid w:val="009A0CE2"/>
    <w:rsid w:val="009A2125"/>
    <w:rsid w:val="009A27AC"/>
    <w:rsid w:val="009A374C"/>
    <w:rsid w:val="009A66B0"/>
    <w:rsid w:val="009B1230"/>
    <w:rsid w:val="009B1D1D"/>
    <w:rsid w:val="009B35EF"/>
    <w:rsid w:val="009B52CC"/>
    <w:rsid w:val="009B6567"/>
    <w:rsid w:val="009C2E23"/>
    <w:rsid w:val="009C3863"/>
    <w:rsid w:val="009C4DE6"/>
    <w:rsid w:val="009D2CFB"/>
    <w:rsid w:val="009D3D39"/>
    <w:rsid w:val="009D6D3C"/>
    <w:rsid w:val="009D7CB8"/>
    <w:rsid w:val="009E4CA7"/>
    <w:rsid w:val="009E752A"/>
    <w:rsid w:val="009F10DA"/>
    <w:rsid w:val="009F2115"/>
    <w:rsid w:val="009F4D7B"/>
    <w:rsid w:val="009F4F48"/>
    <w:rsid w:val="009F5AFF"/>
    <w:rsid w:val="009F5FC2"/>
    <w:rsid w:val="009F79E7"/>
    <w:rsid w:val="00A042B6"/>
    <w:rsid w:val="00A04CF0"/>
    <w:rsid w:val="00A073FE"/>
    <w:rsid w:val="00A07EE3"/>
    <w:rsid w:val="00A1291A"/>
    <w:rsid w:val="00A15097"/>
    <w:rsid w:val="00A15906"/>
    <w:rsid w:val="00A16B3F"/>
    <w:rsid w:val="00A17C98"/>
    <w:rsid w:val="00A25618"/>
    <w:rsid w:val="00A256DA"/>
    <w:rsid w:val="00A3072E"/>
    <w:rsid w:val="00A34FA5"/>
    <w:rsid w:val="00A40E1E"/>
    <w:rsid w:val="00A42544"/>
    <w:rsid w:val="00A428AB"/>
    <w:rsid w:val="00A430D7"/>
    <w:rsid w:val="00A47634"/>
    <w:rsid w:val="00A51012"/>
    <w:rsid w:val="00A5142F"/>
    <w:rsid w:val="00A52A31"/>
    <w:rsid w:val="00A53ED4"/>
    <w:rsid w:val="00A62183"/>
    <w:rsid w:val="00A634D4"/>
    <w:rsid w:val="00A656CC"/>
    <w:rsid w:val="00A6674E"/>
    <w:rsid w:val="00A7574B"/>
    <w:rsid w:val="00A75F0B"/>
    <w:rsid w:val="00A8151C"/>
    <w:rsid w:val="00A818A8"/>
    <w:rsid w:val="00A81A18"/>
    <w:rsid w:val="00A81DB3"/>
    <w:rsid w:val="00A85058"/>
    <w:rsid w:val="00A8528A"/>
    <w:rsid w:val="00A90545"/>
    <w:rsid w:val="00A909D9"/>
    <w:rsid w:val="00A90FE1"/>
    <w:rsid w:val="00A9185F"/>
    <w:rsid w:val="00A944B3"/>
    <w:rsid w:val="00A96745"/>
    <w:rsid w:val="00A96B60"/>
    <w:rsid w:val="00AA19ED"/>
    <w:rsid w:val="00AA1C36"/>
    <w:rsid w:val="00AA4419"/>
    <w:rsid w:val="00AB0E12"/>
    <w:rsid w:val="00AB2A69"/>
    <w:rsid w:val="00AB32EC"/>
    <w:rsid w:val="00AB4BD3"/>
    <w:rsid w:val="00AB5872"/>
    <w:rsid w:val="00AC1D5D"/>
    <w:rsid w:val="00AC22A0"/>
    <w:rsid w:val="00AC294D"/>
    <w:rsid w:val="00AC2D79"/>
    <w:rsid w:val="00AC3F5F"/>
    <w:rsid w:val="00AC54E6"/>
    <w:rsid w:val="00AC7DAF"/>
    <w:rsid w:val="00AD0B02"/>
    <w:rsid w:val="00AD3B25"/>
    <w:rsid w:val="00AD3BB4"/>
    <w:rsid w:val="00AD3F58"/>
    <w:rsid w:val="00AD40D0"/>
    <w:rsid w:val="00AD7713"/>
    <w:rsid w:val="00AD7DB8"/>
    <w:rsid w:val="00AE5024"/>
    <w:rsid w:val="00AE5031"/>
    <w:rsid w:val="00AE5BF6"/>
    <w:rsid w:val="00AE6762"/>
    <w:rsid w:val="00AF60BA"/>
    <w:rsid w:val="00AF6702"/>
    <w:rsid w:val="00AF6CF3"/>
    <w:rsid w:val="00B008D7"/>
    <w:rsid w:val="00B00AA5"/>
    <w:rsid w:val="00B020B5"/>
    <w:rsid w:val="00B04135"/>
    <w:rsid w:val="00B06A2E"/>
    <w:rsid w:val="00B06B51"/>
    <w:rsid w:val="00B10262"/>
    <w:rsid w:val="00B14727"/>
    <w:rsid w:val="00B173C0"/>
    <w:rsid w:val="00B219E0"/>
    <w:rsid w:val="00B24788"/>
    <w:rsid w:val="00B26267"/>
    <w:rsid w:val="00B26603"/>
    <w:rsid w:val="00B31FF5"/>
    <w:rsid w:val="00B33690"/>
    <w:rsid w:val="00B411F5"/>
    <w:rsid w:val="00B41391"/>
    <w:rsid w:val="00B41F91"/>
    <w:rsid w:val="00B430FA"/>
    <w:rsid w:val="00B44452"/>
    <w:rsid w:val="00B50DAB"/>
    <w:rsid w:val="00B564EA"/>
    <w:rsid w:val="00B567B1"/>
    <w:rsid w:val="00B65315"/>
    <w:rsid w:val="00B65D12"/>
    <w:rsid w:val="00B66E9D"/>
    <w:rsid w:val="00B7234A"/>
    <w:rsid w:val="00B736B0"/>
    <w:rsid w:val="00B76667"/>
    <w:rsid w:val="00B8174A"/>
    <w:rsid w:val="00B82EA2"/>
    <w:rsid w:val="00B9012A"/>
    <w:rsid w:val="00B911BD"/>
    <w:rsid w:val="00B919F5"/>
    <w:rsid w:val="00B954C3"/>
    <w:rsid w:val="00BA0BE8"/>
    <w:rsid w:val="00BA27AB"/>
    <w:rsid w:val="00BA37DB"/>
    <w:rsid w:val="00BA5864"/>
    <w:rsid w:val="00BA5B60"/>
    <w:rsid w:val="00BA73DC"/>
    <w:rsid w:val="00BB0229"/>
    <w:rsid w:val="00BB1E86"/>
    <w:rsid w:val="00BB3446"/>
    <w:rsid w:val="00BB3633"/>
    <w:rsid w:val="00BB3640"/>
    <w:rsid w:val="00BB486B"/>
    <w:rsid w:val="00BB5892"/>
    <w:rsid w:val="00BB6ADF"/>
    <w:rsid w:val="00BC1391"/>
    <w:rsid w:val="00BC1F64"/>
    <w:rsid w:val="00BC26BA"/>
    <w:rsid w:val="00BC3957"/>
    <w:rsid w:val="00BD2A11"/>
    <w:rsid w:val="00BD6CC0"/>
    <w:rsid w:val="00BD6FE4"/>
    <w:rsid w:val="00BE0055"/>
    <w:rsid w:val="00BE26D6"/>
    <w:rsid w:val="00BE6BF5"/>
    <w:rsid w:val="00BE7430"/>
    <w:rsid w:val="00BF0103"/>
    <w:rsid w:val="00BF0463"/>
    <w:rsid w:val="00BF1249"/>
    <w:rsid w:val="00BF358B"/>
    <w:rsid w:val="00BF3C48"/>
    <w:rsid w:val="00BF49AE"/>
    <w:rsid w:val="00BF557D"/>
    <w:rsid w:val="00BF66ED"/>
    <w:rsid w:val="00BF6A2A"/>
    <w:rsid w:val="00BF7F29"/>
    <w:rsid w:val="00C01403"/>
    <w:rsid w:val="00C021F8"/>
    <w:rsid w:val="00C0259A"/>
    <w:rsid w:val="00C05455"/>
    <w:rsid w:val="00C05B4D"/>
    <w:rsid w:val="00C069BA"/>
    <w:rsid w:val="00C07181"/>
    <w:rsid w:val="00C07B59"/>
    <w:rsid w:val="00C1065E"/>
    <w:rsid w:val="00C114A6"/>
    <w:rsid w:val="00C11DC8"/>
    <w:rsid w:val="00C144D3"/>
    <w:rsid w:val="00C2127E"/>
    <w:rsid w:val="00C21C2A"/>
    <w:rsid w:val="00C23464"/>
    <w:rsid w:val="00C23687"/>
    <w:rsid w:val="00C30C97"/>
    <w:rsid w:val="00C30CF5"/>
    <w:rsid w:val="00C317FC"/>
    <w:rsid w:val="00C335A0"/>
    <w:rsid w:val="00C353FF"/>
    <w:rsid w:val="00C36E0A"/>
    <w:rsid w:val="00C3737D"/>
    <w:rsid w:val="00C40E07"/>
    <w:rsid w:val="00C425C3"/>
    <w:rsid w:val="00C441EE"/>
    <w:rsid w:val="00C4444B"/>
    <w:rsid w:val="00C45641"/>
    <w:rsid w:val="00C46C39"/>
    <w:rsid w:val="00C51731"/>
    <w:rsid w:val="00C51BD3"/>
    <w:rsid w:val="00C5314B"/>
    <w:rsid w:val="00C53CE6"/>
    <w:rsid w:val="00C549F4"/>
    <w:rsid w:val="00C57186"/>
    <w:rsid w:val="00C57304"/>
    <w:rsid w:val="00C57FA8"/>
    <w:rsid w:val="00C7016A"/>
    <w:rsid w:val="00C71422"/>
    <w:rsid w:val="00C7646F"/>
    <w:rsid w:val="00C82180"/>
    <w:rsid w:val="00C84253"/>
    <w:rsid w:val="00C847EB"/>
    <w:rsid w:val="00C86F09"/>
    <w:rsid w:val="00C90FA5"/>
    <w:rsid w:val="00C922C0"/>
    <w:rsid w:val="00C92FEC"/>
    <w:rsid w:val="00C93A72"/>
    <w:rsid w:val="00C94552"/>
    <w:rsid w:val="00C962D2"/>
    <w:rsid w:val="00CA4338"/>
    <w:rsid w:val="00CA4935"/>
    <w:rsid w:val="00CA4FA7"/>
    <w:rsid w:val="00CA688A"/>
    <w:rsid w:val="00CB1456"/>
    <w:rsid w:val="00CB3B07"/>
    <w:rsid w:val="00CB45A0"/>
    <w:rsid w:val="00CB74E7"/>
    <w:rsid w:val="00CB7BCA"/>
    <w:rsid w:val="00CC29F4"/>
    <w:rsid w:val="00CC2F40"/>
    <w:rsid w:val="00CC4E5B"/>
    <w:rsid w:val="00CC6669"/>
    <w:rsid w:val="00CC7233"/>
    <w:rsid w:val="00CC77A2"/>
    <w:rsid w:val="00CD0E90"/>
    <w:rsid w:val="00CD3852"/>
    <w:rsid w:val="00CD4025"/>
    <w:rsid w:val="00CD5911"/>
    <w:rsid w:val="00CD6DD9"/>
    <w:rsid w:val="00CE22D3"/>
    <w:rsid w:val="00CE57D2"/>
    <w:rsid w:val="00CE5815"/>
    <w:rsid w:val="00CE64B9"/>
    <w:rsid w:val="00CF05B4"/>
    <w:rsid w:val="00CF2F9B"/>
    <w:rsid w:val="00CF4347"/>
    <w:rsid w:val="00CF5F67"/>
    <w:rsid w:val="00CF626D"/>
    <w:rsid w:val="00D00054"/>
    <w:rsid w:val="00D0193A"/>
    <w:rsid w:val="00D030F4"/>
    <w:rsid w:val="00D05748"/>
    <w:rsid w:val="00D057B2"/>
    <w:rsid w:val="00D058DA"/>
    <w:rsid w:val="00D1095F"/>
    <w:rsid w:val="00D1333E"/>
    <w:rsid w:val="00D14AB2"/>
    <w:rsid w:val="00D150BF"/>
    <w:rsid w:val="00D16FB7"/>
    <w:rsid w:val="00D17203"/>
    <w:rsid w:val="00D202E5"/>
    <w:rsid w:val="00D21BAD"/>
    <w:rsid w:val="00D23880"/>
    <w:rsid w:val="00D24D19"/>
    <w:rsid w:val="00D273C2"/>
    <w:rsid w:val="00D30527"/>
    <w:rsid w:val="00D31D05"/>
    <w:rsid w:val="00D32D1E"/>
    <w:rsid w:val="00D36FC3"/>
    <w:rsid w:val="00D40BBE"/>
    <w:rsid w:val="00D42783"/>
    <w:rsid w:val="00D43C7A"/>
    <w:rsid w:val="00D43D82"/>
    <w:rsid w:val="00D47422"/>
    <w:rsid w:val="00D5026E"/>
    <w:rsid w:val="00D525C0"/>
    <w:rsid w:val="00D53A22"/>
    <w:rsid w:val="00D54766"/>
    <w:rsid w:val="00D5716B"/>
    <w:rsid w:val="00D57CF0"/>
    <w:rsid w:val="00D57EC5"/>
    <w:rsid w:val="00D60182"/>
    <w:rsid w:val="00D606EE"/>
    <w:rsid w:val="00D62AED"/>
    <w:rsid w:val="00D62E67"/>
    <w:rsid w:val="00D64603"/>
    <w:rsid w:val="00D64B4E"/>
    <w:rsid w:val="00D64DC3"/>
    <w:rsid w:val="00D6582C"/>
    <w:rsid w:val="00D66A79"/>
    <w:rsid w:val="00D7173A"/>
    <w:rsid w:val="00D71F4F"/>
    <w:rsid w:val="00D722E3"/>
    <w:rsid w:val="00D733E5"/>
    <w:rsid w:val="00D74515"/>
    <w:rsid w:val="00D80537"/>
    <w:rsid w:val="00D82F20"/>
    <w:rsid w:val="00D838A6"/>
    <w:rsid w:val="00D87F00"/>
    <w:rsid w:val="00D9281C"/>
    <w:rsid w:val="00D95009"/>
    <w:rsid w:val="00D95445"/>
    <w:rsid w:val="00D95E0E"/>
    <w:rsid w:val="00D961EF"/>
    <w:rsid w:val="00D970D6"/>
    <w:rsid w:val="00D976A2"/>
    <w:rsid w:val="00DA0F8D"/>
    <w:rsid w:val="00DA1725"/>
    <w:rsid w:val="00DA1A31"/>
    <w:rsid w:val="00DA4089"/>
    <w:rsid w:val="00DB0637"/>
    <w:rsid w:val="00DB0922"/>
    <w:rsid w:val="00DB5100"/>
    <w:rsid w:val="00DC392C"/>
    <w:rsid w:val="00DC485C"/>
    <w:rsid w:val="00DC53B7"/>
    <w:rsid w:val="00DC7EEB"/>
    <w:rsid w:val="00DD0CAA"/>
    <w:rsid w:val="00DD1DAF"/>
    <w:rsid w:val="00DD1EAF"/>
    <w:rsid w:val="00DD3D7B"/>
    <w:rsid w:val="00DD5017"/>
    <w:rsid w:val="00DD623F"/>
    <w:rsid w:val="00DE4097"/>
    <w:rsid w:val="00DE464D"/>
    <w:rsid w:val="00DE4C7B"/>
    <w:rsid w:val="00DE676B"/>
    <w:rsid w:val="00DF051C"/>
    <w:rsid w:val="00DF17ED"/>
    <w:rsid w:val="00DF42AB"/>
    <w:rsid w:val="00DF4B40"/>
    <w:rsid w:val="00DF5727"/>
    <w:rsid w:val="00DF7560"/>
    <w:rsid w:val="00E01241"/>
    <w:rsid w:val="00E05CD6"/>
    <w:rsid w:val="00E077D2"/>
    <w:rsid w:val="00E10307"/>
    <w:rsid w:val="00E12C08"/>
    <w:rsid w:val="00E132A4"/>
    <w:rsid w:val="00E13637"/>
    <w:rsid w:val="00E13C60"/>
    <w:rsid w:val="00E15463"/>
    <w:rsid w:val="00E2334E"/>
    <w:rsid w:val="00E233B2"/>
    <w:rsid w:val="00E23735"/>
    <w:rsid w:val="00E23AE9"/>
    <w:rsid w:val="00E240F8"/>
    <w:rsid w:val="00E2563D"/>
    <w:rsid w:val="00E33131"/>
    <w:rsid w:val="00E35823"/>
    <w:rsid w:val="00E403BE"/>
    <w:rsid w:val="00E40BFC"/>
    <w:rsid w:val="00E418B8"/>
    <w:rsid w:val="00E42885"/>
    <w:rsid w:val="00E50C39"/>
    <w:rsid w:val="00E52D04"/>
    <w:rsid w:val="00E54607"/>
    <w:rsid w:val="00E56105"/>
    <w:rsid w:val="00E57A0B"/>
    <w:rsid w:val="00E60EF3"/>
    <w:rsid w:val="00E62C9D"/>
    <w:rsid w:val="00E639B8"/>
    <w:rsid w:val="00E65882"/>
    <w:rsid w:val="00E66958"/>
    <w:rsid w:val="00E70925"/>
    <w:rsid w:val="00E73BF8"/>
    <w:rsid w:val="00E80946"/>
    <w:rsid w:val="00E81509"/>
    <w:rsid w:val="00E8510F"/>
    <w:rsid w:val="00E8578E"/>
    <w:rsid w:val="00E85C63"/>
    <w:rsid w:val="00E94FB5"/>
    <w:rsid w:val="00E957E8"/>
    <w:rsid w:val="00EA0A9B"/>
    <w:rsid w:val="00EA1E5C"/>
    <w:rsid w:val="00EA2FDC"/>
    <w:rsid w:val="00EA5939"/>
    <w:rsid w:val="00EB0415"/>
    <w:rsid w:val="00EB1CBD"/>
    <w:rsid w:val="00EB6257"/>
    <w:rsid w:val="00EC78F8"/>
    <w:rsid w:val="00ED29D1"/>
    <w:rsid w:val="00ED4536"/>
    <w:rsid w:val="00ED4D04"/>
    <w:rsid w:val="00ED575A"/>
    <w:rsid w:val="00ED674D"/>
    <w:rsid w:val="00ED68F1"/>
    <w:rsid w:val="00EE062C"/>
    <w:rsid w:val="00EE07DC"/>
    <w:rsid w:val="00EE172E"/>
    <w:rsid w:val="00EE2F2C"/>
    <w:rsid w:val="00EE444A"/>
    <w:rsid w:val="00EE4EA8"/>
    <w:rsid w:val="00EE5856"/>
    <w:rsid w:val="00EE62A9"/>
    <w:rsid w:val="00EF198A"/>
    <w:rsid w:val="00EF53AD"/>
    <w:rsid w:val="00EF662F"/>
    <w:rsid w:val="00F00408"/>
    <w:rsid w:val="00F17BC6"/>
    <w:rsid w:val="00F20F69"/>
    <w:rsid w:val="00F234FE"/>
    <w:rsid w:val="00F305EB"/>
    <w:rsid w:val="00F33C34"/>
    <w:rsid w:val="00F35846"/>
    <w:rsid w:val="00F37049"/>
    <w:rsid w:val="00F37E9F"/>
    <w:rsid w:val="00F42271"/>
    <w:rsid w:val="00F443CC"/>
    <w:rsid w:val="00F44BB0"/>
    <w:rsid w:val="00F46F3A"/>
    <w:rsid w:val="00F47C98"/>
    <w:rsid w:val="00F47F0B"/>
    <w:rsid w:val="00F5075E"/>
    <w:rsid w:val="00F509AC"/>
    <w:rsid w:val="00F52068"/>
    <w:rsid w:val="00F57BC3"/>
    <w:rsid w:val="00F61B49"/>
    <w:rsid w:val="00F61DE1"/>
    <w:rsid w:val="00F65D15"/>
    <w:rsid w:val="00F735ED"/>
    <w:rsid w:val="00F739C6"/>
    <w:rsid w:val="00F73AF7"/>
    <w:rsid w:val="00F757CA"/>
    <w:rsid w:val="00F76959"/>
    <w:rsid w:val="00F773B8"/>
    <w:rsid w:val="00F77417"/>
    <w:rsid w:val="00F778E1"/>
    <w:rsid w:val="00F80128"/>
    <w:rsid w:val="00F81DA3"/>
    <w:rsid w:val="00F82604"/>
    <w:rsid w:val="00F839EA"/>
    <w:rsid w:val="00F84CB2"/>
    <w:rsid w:val="00F85100"/>
    <w:rsid w:val="00F86377"/>
    <w:rsid w:val="00F90E01"/>
    <w:rsid w:val="00F976F0"/>
    <w:rsid w:val="00F979FD"/>
    <w:rsid w:val="00FA29AD"/>
    <w:rsid w:val="00FA2FF8"/>
    <w:rsid w:val="00FA40AF"/>
    <w:rsid w:val="00FA422A"/>
    <w:rsid w:val="00FA4675"/>
    <w:rsid w:val="00FA7D22"/>
    <w:rsid w:val="00FB21DB"/>
    <w:rsid w:val="00FB3E81"/>
    <w:rsid w:val="00FB5742"/>
    <w:rsid w:val="00FB5C23"/>
    <w:rsid w:val="00FB6E6E"/>
    <w:rsid w:val="00FC1D4B"/>
    <w:rsid w:val="00FC29AB"/>
    <w:rsid w:val="00FC4905"/>
    <w:rsid w:val="00FC4F54"/>
    <w:rsid w:val="00FC539B"/>
    <w:rsid w:val="00FC5FC6"/>
    <w:rsid w:val="00FC7567"/>
    <w:rsid w:val="00FC79FB"/>
    <w:rsid w:val="00FC7D80"/>
    <w:rsid w:val="00FD1B77"/>
    <w:rsid w:val="00FD274C"/>
    <w:rsid w:val="00FE0794"/>
    <w:rsid w:val="00FE207A"/>
    <w:rsid w:val="00FE25C5"/>
    <w:rsid w:val="00FE378A"/>
    <w:rsid w:val="00FE4EEF"/>
    <w:rsid w:val="00FE6590"/>
    <w:rsid w:val="00FF0A88"/>
    <w:rsid w:val="00FF1300"/>
    <w:rsid w:val="00FF15DB"/>
    <w:rsid w:val="00FF197B"/>
    <w:rsid w:val="00FF49A0"/>
    <w:rsid w:val="00FF5D76"/>
    <w:rsid w:val="00FF6959"/>
    <w:rsid w:val="00FF7466"/>
    <w:rsid w:val="00FF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D4D"/>
    <w:pPr>
      <w:spacing w:line="480" w:lineRule="auto"/>
      <w:ind w:firstLine="432"/>
    </w:pPr>
    <w:rPr>
      <w:rFonts w:ascii="Times New Roman" w:hAnsi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99"/>
    <w:qFormat/>
    <w:rsid w:val="0068742C"/>
    <w:rPr>
      <w:rFonts w:cs="Times New Roman"/>
    </w:rPr>
  </w:style>
  <w:style w:type="paragraph" w:styleId="Header">
    <w:name w:val="header"/>
    <w:basedOn w:val="Normal"/>
    <w:link w:val="HeaderChar"/>
    <w:uiPriority w:val="99"/>
    <w:rsid w:val="00BA27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A27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rsid w:val="00BA27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A27AB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rsid w:val="00C82180"/>
    <w:rPr>
      <w:rFonts w:cs="Times New Roman"/>
      <w:color w:val="0000FF"/>
      <w:u w:val="single"/>
    </w:rPr>
  </w:style>
  <w:style w:type="paragraph" w:customStyle="1" w:styleId="Style3">
    <w:name w:val="Style3"/>
    <w:basedOn w:val="Normal"/>
    <w:uiPriority w:val="99"/>
    <w:rsid w:val="0068742C"/>
    <w:pPr>
      <w:spacing w:line="240" w:lineRule="auto"/>
    </w:pPr>
  </w:style>
  <w:style w:type="paragraph" w:styleId="NoSpacing">
    <w:name w:val="No Spacing"/>
    <w:uiPriority w:val="99"/>
    <w:qFormat/>
    <w:rsid w:val="0051223C"/>
    <w:rPr>
      <w:rFonts w:ascii="Times New Roman" w:hAnsi="Times New Roman"/>
      <w:sz w:val="24"/>
      <w:szCs w:val="20"/>
    </w:rPr>
  </w:style>
  <w:style w:type="table" w:styleId="TableGrid">
    <w:name w:val="Table Grid"/>
    <w:basedOn w:val="TableNormal"/>
    <w:uiPriority w:val="99"/>
    <w:rsid w:val="00CB7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AC2D79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C2D79"/>
    <w:rPr>
      <w:rFonts w:ascii="Tahoma" w:hAnsi="Tahoma"/>
      <w:sz w:val="16"/>
    </w:rPr>
  </w:style>
  <w:style w:type="paragraph" w:styleId="Subtitle">
    <w:name w:val="Subtitle"/>
    <w:basedOn w:val="Style3"/>
    <w:next w:val="Normal"/>
    <w:link w:val="SubtitleChar"/>
    <w:uiPriority w:val="99"/>
    <w:qFormat/>
    <w:rsid w:val="00697A47"/>
    <w:pPr>
      <w:numPr>
        <w:numId w:val="3"/>
      </w:numPr>
      <w:ind w:left="1080"/>
    </w:pPr>
  </w:style>
  <w:style w:type="character" w:customStyle="1" w:styleId="SubtitleChar">
    <w:name w:val="Subtitle Char"/>
    <w:basedOn w:val="DefaultParagraphFont"/>
    <w:link w:val="Subtitle"/>
    <w:uiPriority w:val="99"/>
    <w:locked/>
    <w:rsid w:val="00697A47"/>
    <w:rPr>
      <w:rFonts w:ascii="Times New Roman" w:hAnsi="Times New Roman"/>
      <w:sz w:val="24"/>
    </w:rPr>
  </w:style>
  <w:style w:type="paragraph" w:customStyle="1" w:styleId="Default">
    <w:name w:val="Default"/>
    <w:uiPriority w:val="99"/>
    <w:rsid w:val="00793785"/>
    <w:pPr>
      <w:widowControl w:val="0"/>
      <w:autoSpaceDE w:val="0"/>
      <w:autoSpaceDN w:val="0"/>
      <w:adjustRightInd w:val="0"/>
    </w:pPr>
    <w:rPr>
      <w:rFonts w:ascii="SOOWN I+ CM R 17" w:eastAsia="SOOWN I+ CM R 17" w:hAnsi="Times New Roman" w:cs="SOOWN I+ CM R 17"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99"/>
    <w:qFormat/>
    <w:rsid w:val="00D6582C"/>
    <w:pPr>
      <w:ind w:left="720"/>
      <w:contextualSpacing/>
    </w:pPr>
  </w:style>
  <w:style w:type="character" w:styleId="Strong">
    <w:name w:val="Strong"/>
    <w:basedOn w:val="DefaultParagraphFont"/>
    <w:qFormat/>
    <w:locked/>
    <w:rsid w:val="005A7636"/>
    <w:rPr>
      <w:rFonts w:ascii="Times New Roman" w:hAnsi="Times New Roman"/>
      <w:b w:val="0"/>
      <w:bCs/>
      <w:i w:val="0"/>
      <w:caps w:val="0"/>
      <w:smallCaps w:val="0"/>
      <w:strike w:val="0"/>
      <w:dstrike w:val="0"/>
      <w:vanish w:val="0"/>
      <w:color w:val="00000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5A76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A76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style-span">
    <w:name w:val="apple-style-span"/>
    <w:basedOn w:val="DefaultParagraphFont"/>
    <w:rsid w:val="00306C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D4D"/>
    <w:pPr>
      <w:spacing w:line="480" w:lineRule="auto"/>
      <w:ind w:firstLine="432"/>
    </w:pPr>
    <w:rPr>
      <w:rFonts w:ascii="Times New Roman" w:hAnsi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99"/>
    <w:qFormat/>
    <w:rsid w:val="0068742C"/>
    <w:rPr>
      <w:rFonts w:cs="Times New Roman"/>
    </w:rPr>
  </w:style>
  <w:style w:type="paragraph" w:styleId="Header">
    <w:name w:val="header"/>
    <w:basedOn w:val="Normal"/>
    <w:link w:val="HeaderChar"/>
    <w:uiPriority w:val="99"/>
    <w:rsid w:val="00BA27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A27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rsid w:val="00BA27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A27AB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rsid w:val="00C82180"/>
    <w:rPr>
      <w:rFonts w:cs="Times New Roman"/>
      <w:color w:val="0000FF"/>
      <w:u w:val="single"/>
    </w:rPr>
  </w:style>
  <w:style w:type="paragraph" w:customStyle="1" w:styleId="Style3">
    <w:name w:val="Style3"/>
    <w:basedOn w:val="Normal"/>
    <w:uiPriority w:val="99"/>
    <w:rsid w:val="0068742C"/>
    <w:pPr>
      <w:spacing w:line="240" w:lineRule="auto"/>
    </w:pPr>
  </w:style>
  <w:style w:type="paragraph" w:styleId="NoSpacing">
    <w:name w:val="No Spacing"/>
    <w:uiPriority w:val="99"/>
    <w:qFormat/>
    <w:rsid w:val="0051223C"/>
    <w:rPr>
      <w:rFonts w:ascii="Times New Roman" w:hAnsi="Times New Roman"/>
      <w:sz w:val="24"/>
      <w:szCs w:val="20"/>
    </w:rPr>
  </w:style>
  <w:style w:type="table" w:styleId="TableGrid">
    <w:name w:val="Table Grid"/>
    <w:basedOn w:val="TableNormal"/>
    <w:uiPriority w:val="99"/>
    <w:rsid w:val="00CB7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AC2D79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C2D79"/>
    <w:rPr>
      <w:rFonts w:ascii="Tahoma" w:hAnsi="Tahoma"/>
      <w:sz w:val="16"/>
    </w:rPr>
  </w:style>
  <w:style w:type="paragraph" w:styleId="Subtitle">
    <w:name w:val="Subtitle"/>
    <w:basedOn w:val="Style3"/>
    <w:next w:val="Normal"/>
    <w:link w:val="SubtitleChar"/>
    <w:uiPriority w:val="99"/>
    <w:qFormat/>
    <w:rsid w:val="00697A47"/>
    <w:pPr>
      <w:numPr>
        <w:numId w:val="3"/>
      </w:numPr>
      <w:ind w:left="1080"/>
    </w:pPr>
  </w:style>
  <w:style w:type="character" w:customStyle="1" w:styleId="SubtitleChar">
    <w:name w:val="Subtitle Char"/>
    <w:basedOn w:val="DefaultParagraphFont"/>
    <w:link w:val="Subtitle"/>
    <w:uiPriority w:val="99"/>
    <w:locked/>
    <w:rsid w:val="00697A47"/>
    <w:rPr>
      <w:rFonts w:ascii="Times New Roman" w:hAnsi="Times New Roman"/>
      <w:sz w:val="24"/>
    </w:rPr>
  </w:style>
  <w:style w:type="paragraph" w:customStyle="1" w:styleId="Default">
    <w:name w:val="Default"/>
    <w:uiPriority w:val="99"/>
    <w:rsid w:val="00793785"/>
    <w:pPr>
      <w:widowControl w:val="0"/>
      <w:autoSpaceDE w:val="0"/>
      <w:autoSpaceDN w:val="0"/>
      <w:adjustRightInd w:val="0"/>
    </w:pPr>
    <w:rPr>
      <w:rFonts w:ascii="SOOWN I+ CM R 17" w:eastAsia="SOOWN I+ CM R 17" w:hAnsi="Times New Roman" w:cs="SOOWN I+ CM R 17"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99"/>
    <w:qFormat/>
    <w:rsid w:val="00D6582C"/>
    <w:pPr>
      <w:ind w:left="720"/>
      <w:contextualSpacing/>
    </w:pPr>
  </w:style>
  <w:style w:type="character" w:styleId="Strong">
    <w:name w:val="Strong"/>
    <w:basedOn w:val="DefaultParagraphFont"/>
    <w:qFormat/>
    <w:locked/>
    <w:rsid w:val="005A7636"/>
    <w:rPr>
      <w:rFonts w:ascii="Times New Roman" w:hAnsi="Times New Roman"/>
      <w:b w:val="0"/>
      <w:bCs/>
      <w:i w:val="0"/>
      <w:caps w:val="0"/>
      <w:smallCaps w:val="0"/>
      <w:strike w:val="0"/>
      <w:dstrike w:val="0"/>
      <w:vanish w:val="0"/>
      <w:color w:val="00000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5A76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A76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style-span">
    <w:name w:val="apple-style-span"/>
    <w:basedOn w:val="DefaultParagraphFont"/>
    <w:rsid w:val="00306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548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48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48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4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4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ncbi.nlm.nih.gov/pubmed?term=%22Hutter%20RV%22%5BAuthor%5D" TargetMode="External"/><Relationship Id="rId18" Type="http://schemas.openxmlformats.org/officeDocument/2006/relationships/hyperlink" Target="http://www.ncbi.nlm.nih.gov/pubmed/20191627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ncbi.nlm.nih.gov/pubmed?term=%22Benedet%20L%22%5BAuthor%5D" TargetMode="External"/><Relationship Id="rId17" Type="http://schemas.openxmlformats.org/officeDocument/2006/relationships/hyperlink" Target="http://www.ncbi.nlm.nih.gov/pubmed?term=%22Silver%20CE%22%5BAuthor%5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cbi.nlm.nih.gov/pubmed?term=%22Rinaldo%20A%22%5BAuthor%5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cbi.nlm.nih.gov/pubmed?term=%22Gospodarowicz%20M%22%5BAuthor%5D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ncbi.nlm.nih.gov/pubmed?term=%22Takes%20RP%22%5BAuthor%5D" TargetMode="External"/><Relationship Id="rId10" Type="http://schemas.openxmlformats.org/officeDocument/2006/relationships/hyperlink" Target="mailto:dechang.chen@usuhs.edu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henson@gwu.edu" TargetMode="External"/><Relationship Id="rId14" Type="http://schemas.openxmlformats.org/officeDocument/2006/relationships/hyperlink" Target="http://www.ncbi.nlm.nih.gov/pubmed/104704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8C399-EEF4-41EC-8A9A-887B3CC21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2661</Words>
  <Characters>15171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ADDING PROGNOSTIC FACTORS TO THE TNM CHANGES SURVIVAL RATES</vt:lpstr>
    </vt:vector>
  </TitlesOfParts>
  <Company>The George Washington University</Company>
  <LinksUpToDate>false</LinksUpToDate>
  <CharactersWithSpaces>17797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ADDING PROGNOSTIC FACTORS TO THE TNM CHANGES SURVIVAL RATES</dc:title>
  <dc:creator>patdeh</dc:creator>
  <cp:lastModifiedBy>Donald E. Henson</cp:lastModifiedBy>
  <cp:revision>7</cp:revision>
  <cp:lastPrinted>2013-07-30T13:52:00Z</cp:lastPrinted>
  <dcterms:created xsi:type="dcterms:W3CDTF">2013-07-31T12:53:00Z</dcterms:created>
  <dcterms:modified xsi:type="dcterms:W3CDTF">2013-07-31T13:09:00Z</dcterms:modified>
</cp:coreProperties>
</file>