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records# per store: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store, count(*) from sandbox group by store order by store;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store | count(*)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     |    10244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10    |    10315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11    |    10062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12    |     9705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13    |    10474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14    |    10040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15    |     9901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16    |     9443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17    |     9864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18    |     9859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19    |    10148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     |    10238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20    |    10214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21    |     9582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22    |     9688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23    |    10050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24    |    10228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25    |     9804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26    |     9854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27    |    10225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28    |    10113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29    |     9455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     |     9036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30    |     7156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31    |    10142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32    |    10202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33    |     6487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34    |    10224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35    |     9528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36    |     6222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37    |     7206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38    |     7362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39    |     9878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4     |    10272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40    |    10017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41    |    10088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42    |     6953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43    |     6751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44    |     7169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45    |     9637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5     |     8999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6     |    10211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7     |     9762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8     |     9895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9     |     8867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records# per store type: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mysql&gt; select type, count(*) from sandbox group by 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type | count(*)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A    |   215478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B    |   163495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C    |    42597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+------+----------+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records# per store, department (range from 1 to 143)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