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p/>
    <w:p>
      <w:pPr>
        <w:pStyle w:val="Heading2"/>
      </w:pPr>
      <w:r>
        <w:t>2026-09-27 v1334 客服功能目录与设置入口</w:t>
      </w:r>
    </w:p>
    <w:p>
      <w:r>
        <w:t>客服不得凭旧版路径或主观推断指导操作。配置入口应以实际页面按钮、导航和控制项为依据，特别区分角色创建与真人好友、全局与单角色、模拟功能与真实设备。开发中页面不能宣传为已实现。</w:t>
      </w:r>
    </w:p>
    <w:p>
      <w:r>
        <w:t>功能目录、本地回答和模型知识使用同一公开数据源。新增/移动应用、设置、游戏时同步WX_HELP及覆盖检查；常见“在哪里”问题应无需模型配置即可回答。增加敏感配置哨兵测试，防止把存档或API配置送入客服模型。</w:t>
      </w:r>
    </w:p>
    <w:p>
      <w:r>
        <w:t>用户明确只推送不打包时，不运行私人打包脚本；共享功能保留私人源码等价性及独立网页版本，不能把源码同步宣称为用户安装的私人App已升级。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