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r>
        <w:br w:type="page"/>
      </w:r>
    </w:p>
    <w:p>
      <w:r>
        <w:rPr>
          <w:b/>
        </w:rPr>
        <w:t>v1037｜移动输入控件与微信页面回归规范（2026-08-22）</w:t>
      </w:r>
    </w:p>
    <w:p>
      <w:r>
        <w:t>移动端输入问题不得通过替换 textarea/input 元素、强制重新聚焦或固定输入区高度来修复视觉光标。优先保持原控件类型、事件绑定、selection、自动高度和系统键盘生命周期；纯视觉需求只能采用不改变交互语义的 CSS。</w:t>
      </w:r>
    </w:p>
    <w:p>
      <w:r>
        <w:t>聊天页删除分隔背景时必须区分内容控件与承载层：保留心情气泡、回复按钮及其点击能力，只让不需要的整行容器透明、无边框、非满宽。旧好友、新好友、角色聊天和小手机好友聊天必须分别回归。</w:t>
      </w:r>
    </w:p>
    <w:p>
      <w:r>
        <w:t>匿名好友占位头像必须走统一组件，不能因入口不同而显示 emoji、首字母或不同颜色。附近好友的性格多样化只改变虚拟资料和对话提示，不得绕过骚扰拦截、拉黑、举报或隐私边界。</w:t>
      </w:r>
    </w:p>
    <w:p>
      <w:r>
        <w:t>微信深浅主题应作为群聊与新建群聊的全局基底；单角色气泡设置优先于全局气泡设置。浅色主题必须保留容器层次和边界，避免纯白页面与卡片完全融合。</w:t>
      </w:r>
    </w:p>
    <w:p>
      <w:r>
        <w:t>新增微信独立页面时必须维持调用栈返回：从发现进入的听一听、搜一搜或云程应返回发现，从主页进入才返回主页。不得把微信设置与 API、模型或外置语音密钥混在同一页面。</w:t>
      </w:r>
    </w:p>
    <w:p>
      <w:r>
        <w:t>任何涉及角色回复的改动都必须保留真实模型生成、普通回复、朋友圈回复、后台通知和外置语音配置；失败时不得伪造角色台词或用系统固定文本冒充角色。</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