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p>
      <w:pPr>
        <w:pStyle w:val="Heading1"/>
      </w:pPr>
      <w:r>
        <w:t>v1011 新增规范：项目鉴权、场景模型路线与后台生成释放（2026-08-21）</w:t>
      </w:r>
    </w:p>
    <w:p>
      <w:r>
        <w: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w:t>
      </w:r>
    </w:p>
    <w:p>
      <w:r>
        <w:t>所有角色可见生成场景必须继承该角色实际主／副模型选择。普通微信、朋友圈、电话、共同生活或后台任务若存在独立调用点，必须逐一核对 aux／routeIndex，而不能因共用 chatAPI 就假设线路相同。</w:t>
      </w:r>
    </w:p>
    <w:p>
      <w:r>
        <w:t>朋友圈失败不得通过固定句、旧回复复制或本地伪造掩盖。应保留真实错误，模型已有真实可见输出仅因兼容解析误清空时可以回收原始可见正文，但 JSON／控制外壳不得直接展示。</w:t>
      </w:r>
    </w:p>
    <w:p>
      <w:r>
        <w: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w:t>
      </w:r>
    </w:p>
    <w:p>
      <w:pPr>
        <w:pStyle w:val="Heading1"/>
      </w:pPr>
      <w:r>
        <w:t>v1012 新增规范：成功链保护、原生回执和位置语义（2026-08-21）</w:t>
      </w:r>
    </w:p>
    <w:p>
      <w:r>
        <w:t>用户已经真机确认成功的朋友圈回复与后台通知属于受保护基线。后续性能修复只能替换局部渲染、加载状态或回执等待，禁止重新设计模型路由、伪造角色内容或用旧逻辑覆盖已成功链路。</w:t>
      </w:r>
    </w:p>
    <w:p>
      <w:r>
        <w:t>原生设备命令只有收到 ok=true 且 stage=executed 才能记为成功。可以对明确短暂错误做一次有界重试；授权、稳定 ID、参数或不支持错误不得重试。控制回执不得被无关健康、屏幕时间或定位刷新阻塞。</w:t>
      </w:r>
    </w:p>
    <w:p>
      <w:r>
        <w:t>前台读取超时必须与原生异步回调和总桥接时限协调。多个独立读取应并行，不能把每项截止串行相加；后台稍后成功而前台先失败时，应先检查前台等待窗口和读取顺序，不能误判为权限完全失效。</w:t>
      </w:r>
    </w:p>
    <w:p>
      <w:r>
        <w:t>家庭位置必须来自真实新鲜坐标，不得写死地址或把旧缓存伪装成当前定位。只有在考虑 accuracy 后仍确定超出家庭半径，角色才可说用户在别处；前台、普通角色上下文和服务器主动消息必须使用同一算法。</w:t>
      </w:r>
    </w:p>
    <w:p>
      <w:pPr>
        <w:pStyle w:val="Heading1"/>
      </w:pPr>
      <w:r>
        <w:t>公开 North 审核访问与核心远程功能透明规范（2026-08-21）</w:t>
      </w:r>
    </w:p>
    <w:p>
      <w:r>
        <w: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w:t>
      </w:r>
    </w:p>
    <w:p>
      <w:r>
        <w: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w:t>
      </w:r>
    </w:p>
    <w:p>
      <w:r>
        <w: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w:t>
      </w:r>
    </w:p>
    <w:p>
      <w:r>
        <w:t>审核登录不得把邮箱、密码、owner secret、device secret、service-role key、JWT 或永久配对码写入前端、文档仓库或 App 二进制。浏览器只保留当前内存会话；服务端按 auth.uid() 限定一个预配置目标；配对码继续单次、短时失效。</w:t>
      </w:r>
    </w:p>
    <w:p>
      <w:r>
        <w:t>角色远程命令必须区分服务器排队与设备执行。控制台、App 和 Review Notes 都要明确：只有设备应用 Managed Settings 后回传终态和新快照，才能显示完成；pending、queued 或 APNs 接受均不能冒充锁定／解锁成功。</w:t>
      </w:r>
    </w:p>
    <w:p>
      <w:r>
        <w: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w:t>
      </w:r>
    </w:p>
    <w:p>
      <w:pPr>
        <w:pStyle w:val="Heading1"/>
      </w:pPr>
      <w:r>
        <w:t>Supabase Security Definer RPC 权限验收规范（2026-08-21）</w:t>
      </w:r>
    </w:p>
    <w:p>
      <w:r>
        <w:t>新建 security definer RPC 时不得假设 REVOKE FROM PUBLIC 等价于禁止 anon。Hosted 项目可能通过 default privileges 直接给 anon EXECUTE；迁移应显式 REVOKE ALL ON FUNCTION ... FROM PUBLIC, anon，再向所需角色精确 GRANT。</w:t>
      </w:r>
    </w:p>
    <w:p>
      <w:r>
        <w:t>部署完成必须在真实远端使用 has_function_privilege 分别核对 anon 与 authenticated，而不能只看 SQL 文本、RLS 状态或函数是否存在。审核账号绑定类 RPC 的合格条件是 anon=false、authenticated=true，并且所有数据选择继续以 auth.uid() 约束。</w:t>
      </w:r>
    </w:p>
    <w:p>
      <w:r>
        <w:br w:type="page"/>
      </w:r>
    </w:p>
    <w:p>
      <w:r>
        <w:rPr>
          <w:b/>
        </w:rPr>
        <w:t>v1029｜真实世界副作用的双模式隔离与回执规则（2026-08-21）</w:t>
      </w:r>
    </w:p>
    <w:p>
      <w:r>
        <w: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w:t>
      </w:r>
    </w:p>
    <w:p>
      <w:r>
        <w:t>真实搜索和展示只能显示上游实际返回字段。不得用随机数、种子、模型或前端默认值补造评分、评论数、销量、优惠券、库存、运费、配送距离、预计送达或骑手状态；缺字段就不显示。</w:t>
      </w:r>
    </w:p>
    <w:p>
      <w:r>
        <w:t>创建订单、付款、退款、设备动作等真实副作用必须以服务端／渠道回执为最终事实。客户端发起请求、拿到付款链接或显示处理中都不等于成功；只有明确终态回执才能扣额度、写成功账单、通知角色或展示已完成。</w:t>
      </w:r>
    </w:p>
    <w:p>
      <w:r>
        <w: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w:t>
      </w:r>
    </w:p>
    <w:p>
      <w:r>
        <w: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w:t>
      </w:r>
    </w:p>
    <w:p>
      <w:r>
        <w:br w:type="page"/>
      </w:r>
    </w:p>
    <w:p>
      <w:r>
        <w:rPr>
          <w:b/>
        </w:rPr>
        <w:t>v1029｜微信主界面视觉层与数据层隔离规则（2026-08-21）</w:t>
      </w:r>
    </w:p>
    <w:p>
      <w:r>
        <w:t>仿真社交软件首页时，视觉重构必须限定在外框、专属类名、图标和展示层；不得用静态假聊天替换正式联系人、群聊、消息排序、未读、朋友圈或点击动作。预览数据只能在 NORTH_PREVIEW 路径存在。</w:t>
      </w:r>
    </w:p>
    <w:p>
      <w:r>
        <w:t>固定磨砂导航不能只写透明色和 backdrop-filter。滚动内容必须真实延伸到导航后方，同时用固定 z-index 保证标题和按钮不移动，才能形成可验证的透视层次。</w:t>
      </w:r>
    </w:p>
    <w:p>
      <w:r>
        <w:t>底栏选中态应由同一数据状态驱动，未选中和选中 SVG 必须成对存在；用户明确不需要的红点不得根据其他数据自动模拟。人物实心图的头部与肩部应保留可见空隙。</w:t>
      </w:r>
    </w:p>
    <w:p>
      <w:r>
        <w:t>并行脏工作区需要单独上线时，必须从最新 origin/main 建立干净隔离工作树，只重放目标功能，更新独立缓存标识，完整测试并逐文件审查后再推送；禁止整文件暂存包含其他工作的混合文件。</w:t>
      </w:r>
    </w:p>
    <w:p>
      <w:r>
        <w:br w:type="page"/>
      </w:r>
    </w:p>
    <w:p>
      <w:r>
        <w:rPr>
          <w:b/>
        </w:rPr>
        <w:t>v1031｜用户可见发布必须递增 BUILD（2026-08-21）</w:t>
      </w:r>
    </w:p>
    <w:p>
      <w:r>
        <w:t>需要已安装用户看到“发现新版本”时，只更改 hotfix、Service Worker cache 或查询参数不够；APP_VER、BUILD、__NORTH_SHELL_BUILD__、入口／修复页和私人内嵌网页标识必须使用同一个更大数字。</w:t>
      </w:r>
    </w:p>
    <w:p>
      <w:r>
        <w:t>多工作区并行时，发布前必须同时检查远端基线和其他工作区已占用的未发布版本号。已占用号不得重复赋予另一功能；选择下一个未占用号后，后续并行发布也必须顺延，不得降版。</w:t>
      </w:r>
    </w:p>
    <w:p>
      <w:r>
        <w:t>网页版本递增不等于私人 iOS build 必须递增。未做 Mac 编译和签名时，可仅升网页，但 PhoneWebBundleInfo 和内嵌网页内容仍须与共享网页一致，并在文档中明确写出 iOS build 未变。</w:t>
      </w:r>
    </w:p>
    <w:p>
      <w:r>
        <w:br w:type="page"/>
      </w:r>
    </w:p>
    <w:p>
      <w:r>
        <w:rPr>
          <w:b/>
        </w:rPr>
        <w:t>v1031｜跨工作树私人包合入规则（2026-08-21）</w:t>
      </w:r>
    </w:p>
    <w:p>
      <w:r>
        <w:t>私人包只会包含打包工作树当前实际文件，不会因另一分支已提交或已推送而自动合入。打包人必须先确认 HEAD 已包含目标提交，再重建 PhoneWeb.bundle。</w:t>
      </w:r>
    </w:p>
    <w:p>
      <w:r>
        <w:t>并行版本已占用私人 iOS build 时，新交付使用下一个未占用 build，不得为两套不同源码发布相同 build。本次因 151 已占用而使用 152。</w:t>
      </w:r>
    </w:p>
    <w:p>
      <w:r>
        <w:t>交付目录只保留一个最终 ZIP；必须在压缩后再检查网页版本、iOS marketing/build、PhoneWeb.bundle/index.html 数量、说明文件数量、嵌套 ZIP、临时缓存、文件数与 SHA-256。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