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共享记忆跨场景与内嵌小家同步规则</ns0:t>
      </ns0:r>
    </ns0:p>
    <ns0:p>
      <ns0:r>
        <ns0:t>同一条聊天记录承载多个场景（微信文字、当面相处、通话）时，必须在发给模型的历史里标明场景切换，而不是另建一份记录；只在实际出现该场景的消息时插入，避免改变普通聊天的提示词。</ns0:t>
      </ns0:r>
    </ns0:p>
    <ns0:p>
      <ns0:r>
        <ns0:t>内置games/cozy-home是独立小家仓库dist的原样拷贝，升级时整目录同步并先核对private-bridge.mjs与web023.mjs；永久修复清单中被小家新实现替代的标记要随代码迁移并在说明中写明，不得直接删除保护。</ns0:t>
      </ns0:r>
    </ns0:p>
    <ns0:p>
      <ns0:r>
        <ns0:t>换掉材质着色器（onBeforeCompile/customProgramCacheKey）的改动，必须在启动阶段对所有房间和镜面输出预编译，否则首次进入房间会同步编译造成明显卡顿。</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