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新增规范：可选铃声必须声学可区分并验证循环接缝（2026-08-06）</w:t>
      </w:r>
    </w:p>
    <w:p>
      <w:r>
        <w:t>多款铃声不能只改名称、频率小数或表面旋律；至少要在音高走向、双响节奏、音色谐波或整体包络中有两项明确差异，并用两两相关度或同等客观指标证明不是同一听感。</w:t>
      </w:r>
    </w:p>
    <w:p>
      <w:r>
        <w:t>用户要求“提示音式”时禁止加入持续和弦铺底、长旋律或背景音乐结构；来电铃可以重复短提示组合，但单次循环内不得退化为每隔一秒孤立响一下的警报式纯音。</w:t>
      </w:r>
    </w:p>
    <w:p>
      <w:r>
        <w:t>本地来电素材继续走独立 Audio/WAV 路线，不得为了复用消息提示音而把来电改回 WebAudio 振荡器；消息提示、主动拨号、来电和通话媒体必须保持互不抢占的职责边界。</w:t>
      </w:r>
    </w:p>
    <w:p>
      <w:r>
        <w:t>每次替换循环音频必须验证：格式与时长、舒适峰值和 RMS、最长静默段、文件首尾采样跳变、三款差异、Service Worker 离线清单与新缓存版本。首次失败素材不得因‘已经能听见’而直接推送。</w:t>
      </w:r>
    </w:p>
    <w:p>
      <w:r>
        <w:t>保留已有铃声 key 和路径可以兼容用户旧选择；若必须改路径，必须提供迁移和缓存失效策略。铃声改动不得顺带重构电话状态、角色自主决策或软件锁。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