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v1604/v1605 外卖收尾：问题包括神券主入口白页、选择收货地址最后一字换行、跑腿未明确开发中及补货/钱包图标不符含义。根因分别为主入口新展示替代旧彩色布局、地址允许两行、跑腿复用占位路由、共用商铺图标。修复彩色布局绑定现有云券数据与付款函数，地址nowrap/ellipsis，跑腿独立toast，叠箱/钱包独立SVG；我的功能增加玩法规则独立页。四项定向回归在旧源码失败，修复后通过。浏览器核对发现云券expires_at为ISO字符串，fmtDT将其按数字转换后NaN显示当前日期；Date.parse后显示真实到期日，回归断言实际日期。最终3471项零失败、双端正常聊天授权门禁及实际页面受控点击验收pageErrors0。未虚构付费模型/真人用户扣款或真机验证。用户后续撤回取消真人用券和本机购券方案，最终只恢复彩色入口，原云资金规则保留，无数据库迁移。打包使用已提交私人工程并逐文件继承上一1599包，不覆盖旧唯一包；推送/线上/包结果分别记录。</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测试首次浏览器失败原因是错误使用子节点onclick定位，home-item本身才有点击事件；修正测试定位后通过，未改动业务点击机制。本次错误覆盖固定north-tests.log，旧日志独有内容无法恢复；其他固定日志和唯一截图保留，后续该记录仅追加。</ns0:t>
      </ns0:r>
    </ns0:p>
    <ns0:p>
      <ns0:r>
        <ns0:t xml:space="preserve">验收过程补充：首次全量3680/3681，唯一失败是版本检查在测试启动时读取到尚未更新的旧Mac说明；先完成v1647说明后再完整复跑，避免并发修改测试输入。首次Word追加误假定w命名空间，而现有正文为ns0；写后XML解析立即发现，已从该文件原提交内容保留全部ZIP项并按实际命名空间重新追加，三份文档解析及正文历史保留核对通过。</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