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v1030｜真实外卖支付回执闭环（2026-08-21）</w:t>
      </w:r>
    </w:p>
    <w:p>
      <w:r>
        <w:t>版本：共享网页 v1030；私人 iOS 1.0.151（151）；原生桥 25。网页与私人 App 的 delivery.js、缓存身份、资源清单和版本显示已经同步。</w:t>
      </w:r>
    </w:p>
    <w:p>
      <w:r>
        <w:t>本版补齐自动付款的异步结算：付款接口先返回待确认时不扣角色额度；后续订单状态首次确认 paid 才按平台实付金额扣一次。平台首次确认 refunded 时返还一次已扣额度，同日退款同步修正当日已用额度；重复回执保持幂等。</w:t>
      </w:r>
    </w:p>
    <w:p>
      <w:r>
        <w:t>创建订单与付款均携带稳定 clientRequestId。创建请求在网络中断后保留十分钟，同一角色、同一真实商品的重试复用原请求号；付款请求在发往连接器前先持久保存授权金额和请求号，降低平台已受理而客户端重复提交的风险。连接器仍必须以用户和请求号做服务端幂等。</w:t>
      </w:r>
    </w:p>
    <w:p>
      <w:r>
        <w:t>自动付款前新增本人明确确认当前收货地址：客户端调用 confirm_address，由连接器从已登录平台账户返回不含完整地址的标签和稳定指纹。新地址指纹与本人确认值不一致时只创建待付款订单。</w:t>
      </w:r>
    </w:p>
    <w:p>
      <w:r>
        <w:t>付款跳转只接受 HTTPS、weixin、alipays 或 alipay 协议；真实商品图片只接受 HTTPS。订单状态忽略未知状态和倒退回执。若平台报告实付金额高于自动付款授权金额，客户端仍按真实 paid 事实记账，同时关闭后续自动付款并要求人工核对。</w:t>
      </w:r>
    </w:p>
    <w:p>
      <w:r>
        <w:t>全量 Node 自动复核 935/935 通过，新增真实外卖异步 paid、重复 paid、退款、重复退款、重试幂等号、危险付款链接和状态倒退测试。Windows 不能替代 Mac 编译、签名、覆盖安装、真实小额订单、支付、退款和 Webhook/APNs 联调。</w:t>
      </w:r>
    </w:p>
    <w:p>
      <w:r>
        <w:t>现实边界未改变：仓库不包含淘宝闪购、美团外卖、微信支付或支付宝密钥、Cookie、支付令牌、完整地址或银行卡资料；实际使用必须由合法主体取得平台合作和支付授权并部署生产 HTTPS 连接器。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