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v1030｜异步金融回执、幂等与退款规范（2026-08-21）</w:t>
      </w:r>
    </w:p>
    <w:p>
      <w:r>
        <w:t>任何可能先返回处理中、后由查询或 Webhook 确认终态的真实支付，都必须把结算逻辑放在统一回执处理器中；发起请求的同步分支和后续状态同步必须共用同一结算器。不得把拿到付款链接、HTTP 成功或处理中当作 paid。</w:t>
      </w:r>
    </w:p>
    <w:p>
      <w:r>
        <w:t>创建订单、付款和退款必须使用稳定幂等请求号。请求号应在真实副作用发出前持久保存；超时重试复用原号。服务端必须按用户、订单归属和请求号去重，客户端幂等标记不能替代服务端幂等。</w:t>
      </w:r>
    </w:p>
    <w:p>
      <w:r>
        <w:t>自动付款必须绑定用户已确认的地址指纹和授权金额。服务端支付前重验真实应付金额，严禁扣除高于授权金额的款项；客户端发现异常回执时必须停止后续自动付款、保留真实订单状态并要求人工核对。</w:t>
      </w:r>
    </w:p>
    <w:p>
      <w:r>
        <w:t>钱包账目只由支付渠道终态回执改变：paid 首次扣款，refunded 首次返还。重复、乱序和倒退回执不得重复记账或让配送状态倒退。取消和失败不等于退款。</w:t>
      </w:r>
    </w:p>
    <w:p>
      <w:r>
        <w:t>所有外部跳转和媒体地址必须使用明确协议白名单。平台密钥、Cookie、支付令牌、完整地址和银行卡资料不得进入网页、Bundle、Git、可见日志或角色模型上下文。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