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抖音逐条已读与朋友圈回复自然动画（本地候选）：用户授权抖音已读直接复用微信逐条延迟两秒/逐字显现，并要求朋友圈回复自然出现。抖音此前硬编码立即显示已读，改为data-wx-read空标签并加入现有扫描选择器，保留dydm-read原布局，不套微信绝对定位CSS；每条期限独立、重绘不重置，历史记录不重播。朋友圈列表与详情评论增加稳定标识，页面/账号隔离扫描记录新回复420ms透明度/轻上移，局部刷新前后扫描，重建节点续接当前进度；空评论页面也先初始化，保证第一条回复动画。中间实现发现空节点重置会使首条被误判历史，已修正并新增回归；未交付失败实现。受控浏览器双端连续抖音消息已读先后顺序、延迟及完成后重绘不重播，朋友圈首条与重绘稳定通过；旧HEAD相同浏览器测试在抖音已读阶段失败。新VM回归覆盖列表/详情标识、首次、重绘、切页历史不播。继续核验全量/核心，不调用收费模型；未推送、未打新包，旧v1705包不含本次修改。</ns0:t>
      </ns0:r>
    </ns0:p>
    <ns0:p>
      <ns0:r>
        <ns0:t>2026-10-11 微信全局灰色与角色群聊继承（本地候选）：用户追加要求全局对方气泡可设灰色且覆盖角色群聊。核实经典预设本为白色，未擅自替换用户其他配色；新增微信灰色预设（角色#2c2c2e/字#ececec，自己绿），全局入口明确覆盖角色私聊/角色群聊。groupBubbleCfg先保留群成员明确样式，无单独样式时按自己/角色映射全局颜色、字色、形状、头像、图标与glow，不修改群数据或覆盖单聊自定义。旧HEAD行为回归在群全局继承失败，新双端VM回归及实际gbubble浏览器样式RGB44/44/46、字236/236/236通过；经典白仍可选，清除全局恢复默认。前一轮完整3886项中3885通过/1失败，仅private源码写CRLF后旧登录保持性切片尾部额外CR导致比较失败；两端源文件恢复LF，登录11项复测全通过，不修改登录逻辑或削弱断言。未推送/打包，继续完整最终回归。</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