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:rsidR="00304D01" w:rsidRDefault="00033F52">
      <w:r>
        <w:rPr>
          <w:rFonts w:hint="eastAsia"/>
        </w:rPr>
        <w:t>用</w:t>
      </w:r>
      <w:r>
        <w:t>Delphi搞定一切。</w:t>
      </w:r>
    </w:p>
    <w:p w:rsidR="00304D01" w:rsidRDefault="00033F52">
      <w:pPr>
        <w:ind w:firstLineChars="200" w:firstLine="420"/>
      </w:pPr>
      <w:r>
        <w:t>DeWeb开发的网页支持所有客户端，包括手机、平板等。</w:t>
      </w:r>
    </w:p>
    <w:p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:rsidR="00304D01" w:rsidRDefault="00304D01">
      <w:pPr>
        <w:pStyle w:val="aa"/>
        <w:ind w:left="720" w:firstLineChars="0" w:firstLine="0"/>
      </w:pPr>
    </w:p>
    <w:p w:rsidR="00304D01" w:rsidRDefault="00304D01">
      <w:pPr>
        <w:pStyle w:val="aa"/>
        <w:ind w:left="720" w:firstLineChars="0" w:firstLine="0"/>
      </w:pPr>
    </w:p>
    <w:p w:rsidR="00304D01" w:rsidRDefault="00033F52">
      <w:pPr>
        <w:widowControl/>
        <w:jc w:val="left"/>
      </w:pPr>
      <w: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:rsidR="00304D01" w:rsidRDefault="00304D01">
      <w:pPr>
        <w:pStyle w:val="aa"/>
        <w:ind w:left="1200" w:firstLineChars="0" w:firstLine="0"/>
      </w:pPr>
    </w:p>
    <w:p w:rsidR="00304D01" w:rsidRDefault="00304D01">
      <w:pPr>
        <w:pStyle w:val="aa"/>
        <w:ind w:left="1200" w:firstLineChars="0" w:firstLine="0"/>
      </w:pP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:rsidR="00304D01" w:rsidRDefault="00304D01">
      <w:pPr>
        <w:pStyle w:val="aa"/>
        <w:ind w:left="1200" w:firstLineChars="0" w:firstLine="0"/>
      </w:pP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:rsidR="00304D01" w:rsidRDefault="00304D01"/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: TForm1;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Application    := AApp;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Screen         := AScreen;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     := TForm1.Create(nil);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AForm.Hint     := AParams;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//AForm.ADOQuery1.Connection   := AConnection;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Result         := AForm;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procedure DLLUnloadProc(dwReason: DWORD);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:rsidR="00304D01" w:rsidRDefault="00033F52">
      <w:r>
        <w:rPr>
          <w:noProof/>
        </w:rPr>
        <w:drawing>
          <wp:inline distT="0" distB="0" distL="0" distR="0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:rsidR="00304D01" w:rsidRDefault="00033F52">
      <w:r>
        <w:rPr>
          <w:rFonts w:hint="eastAsia"/>
        </w:rPr>
        <w:t>需要的目录有：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:rsidR="00304D01" w:rsidRDefault="00033F52">
      <w:r>
        <w:rPr>
          <w:rFonts w:hint="eastAsia"/>
        </w:rPr>
        <w:t>需要的文件有：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lastRenderedPageBreak/>
        <w:t>ssleay32.dll</w:t>
      </w:r>
      <w:r>
        <w:rPr>
          <w:rFonts w:hint="eastAsia"/>
        </w:rPr>
        <w:t>，必须！</w:t>
      </w:r>
    </w:p>
    <w:p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:rsidR="00304D01" w:rsidRDefault="00304D01">
      <w:pPr>
        <w:pStyle w:val="aa"/>
        <w:ind w:left="840" w:firstLineChars="0" w:firstLine="0"/>
      </w:pP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</w:t>
      </w:r>
      <w:r>
        <w:lastRenderedPageBreak/>
        <w:t>edName:String;AForm:TForm);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:rsidR="00304D01" w:rsidRDefault="00033F52">
      <w:pPr>
        <w:pStyle w:val="aa"/>
        <w:ind w:left="780" w:firstLineChars="0" w:firstLine="0"/>
      </w:pPr>
      <w:r>
        <w:rPr>
          <w:w w:val="90"/>
        </w:rPr>
        <w:lastRenderedPageBreak/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  <w:bookmarkStart w:id="1" w:name="_GoBack"/>
      <w:bookmarkEnd w:id="1"/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:rsidR="00F87A96" w:rsidRDefault="00F87A96" w:rsidP="00F87A96">
      <w:pPr>
        <w:widowControl/>
        <w:ind w:leftChars="200" w:left="420"/>
        <w:jc w:val="left"/>
        <w:rPr>
          <w:rStyle w:val="git-project-desc-text"/>
          <w:rFonts w:hint="eastAsia"/>
        </w:rPr>
      </w:pPr>
      <w:r w:rsidRPr="00F87A96">
        <w:rPr>
          <w:rStyle w:val="git-project-desc-text"/>
        </w:rPr>
        <w:t>end;</w:t>
      </w:r>
    </w:p>
    <w:p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:rsidR="0006684C" w:rsidRPr="00B24900" w:rsidRDefault="0006684C" w:rsidP="0006684C">
      <w:pPr>
        <w:rPr>
          <w:rFonts w:hint="eastAsia"/>
        </w:rPr>
      </w:pP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:rsidR="00304D01" w:rsidRDefault="00304D01">
      <w:pPr>
        <w:pStyle w:val="aa"/>
        <w:ind w:left="720" w:firstLineChars="0" w:firstLine="0"/>
      </w:pP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:rsidR="00304D01" w:rsidRDefault="00304D01">
      <w:pPr>
        <w:pStyle w:val="aa"/>
        <w:ind w:left="360" w:firstLineChars="0" w:firstLine="0"/>
      </w:pPr>
    </w:p>
    <w:p w:rsidR="00304D01" w:rsidRDefault="00033F52">
      <w:pPr>
        <w:widowControl/>
        <w:jc w:val="left"/>
      </w:pPr>
      <w: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:rsidR="00304D01" w:rsidRDefault="00033F52">
      <w:pPr>
        <w:pStyle w:val="aa"/>
        <w:ind w:left="720" w:firstLineChars="0" w:firstLine="0"/>
      </w:pPr>
      <w:r>
        <w:t>{"borderradius":"10px 0 0 10px"}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:rsidR="00304D01" w:rsidRDefault="00304D01">
      <w:pPr>
        <w:pStyle w:val="aa"/>
        <w:ind w:left="780" w:firstLineChars="0" w:firstLine="0"/>
      </w:pPr>
    </w:p>
    <w:p w:rsidR="00304D01" w:rsidRDefault="00304D01">
      <w:pPr>
        <w:pStyle w:val="aa"/>
        <w:ind w:left="780" w:firstLineChars="0" w:firstLine="0"/>
      </w:pPr>
    </w:p>
    <w:p w:rsidR="00304D01" w:rsidRDefault="00304D01"/>
    <w:p w:rsidR="00304D01" w:rsidRDefault="00304D01"/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304D01">
      <w:pPr>
        <w:pStyle w:val="aa"/>
        <w:ind w:left="720" w:firstLineChars="0" w:firstLine="0"/>
      </w:pP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:rsidR="00304D01" w:rsidRDefault="00304D01">
      <w:pPr>
        <w:pStyle w:val="aa"/>
        <w:ind w:leftChars="143" w:left="300"/>
        <w:rPr>
          <w:shd w:val="pct10" w:color="auto" w:fill="FFFFFF"/>
        </w:rPr>
      </w:pP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2"/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:rsidR="00304D01" w:rsidRDefault="00304D01">
      <w:pPr>
        <w:pStyle w:val="aa"/>
        <w:ind w:left="720" w:firstLineChars="0" w:firstLine="0"/>
      </w:pP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55916153"/>
      <w:r>
        <w:rPr>
          <w:rFonts w:hint="eastAsia"/>
        </w:rPr>
        <w:t>支持</w:t>
      </w:r>
      <w:r>
        <w:t>Enabled/Visible/Left/Top/Width/Height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3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4"/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:rsidR="00304D01" w:rsidRDefault="00033F52">
      <w:r>
        <w:rPr>
          <w:rFonts w:hint="eastAsia"/>
        </w:rPr>
        <w:t>具体的属性有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:rsidR="00304D01" w:rsidRDefault="00304D01"/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304D01">
      <w:pPr>
        <w:pStyle w:val="aa"/>
        <w:ind w:left="1140" w:firstLineChars="0" w:firstLine="0"/>
      </w:pP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:rsidR="00304D01" w:rsidRDefault="00304D01"/>
    <w:p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bookmarkStart w:id="5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:rsidR="00304D01" w:rsidRDefault="00033F52">
      <w:pPr>
        <w:pStyle w:val="aa"/>
        <w:ind w:left="720" w:firstLineChars="0" w:firstLine="0"/>
      </w:pPr>
      <w:r>
        <w:t>{"borderradius":"10px 0 0 10px"}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:rsidR="00304D01" w:rsidRDefault="00033F52">
      <w:pPr>
        <w:pStyle w:val="aa"/>
        <w:ind w:left="720" w:firstLineChars="0" w:firstLine="0"/>
      </w:pPr>
      <w:r>
        <w:t>{"onclick":"Panel4__col='#bbb';"}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:rsidR="00304D01" w:rsidRDefault="00304D01">
      <w:pPr>
        <w:pStyle w:val="aa"/>
        <w:ind w:left="720" w:firstLineChars="0" w:firstLine="0"/>
      </w:pPr>
    </w:p>
    <w:bookmarkEnd w:id="5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:rsidR="00304D01" w:rsidRDefault="00033F52">
      <w:r>
        <w:rPr>
          <w:rFonts w:hint="eastAsia"/>
        </w:rPr>
        <w:t>用于生成图标居上的按钮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:rsidR="00304D01" w:rsidRDefault="00304D01">
      <w:bookmarkStart w:id="6" w:name="_Hlk47427375"/>
    </w:p>
    <w:bookmarkEnd w:id="6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:rsidR="00304D01" w:rsidRDefault="00033F52">
      <w:r>
        <w:rPr>
          <w:rFonts w:hint="eastAsia"/>
          <w:noProof/>
        </w:rPr>
        <w:drawing>
          <wp:inline distT="0" distB="0" distL="0" distR="0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:rsidR="00304D01" w:rsidRDefault="00304D01"/>
    <w:p w:rsidR="00304D01" w:rsidRDefault="00304D01"/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:rsidR="00304D01" w:rsidRDefault="00033F52">
      <w:r>
        <w:rPr>
          <w:noProof/>
        </w:rPr>
        <w:drawing>
          <wp:inline distT="0" distB="0" distL="0" distR="0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04D01" w:rsidRDefault="00033F52">
      <w:r>
        <w:rPr>
          <w:noProof/>
        </w:rPr>
        <w:lastRenderedPageBreak/>
        <w:drawing>
          <wp:inline distT="0" distB="0" distL="0" distR="0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el-icon-platform-eleme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el-icon-camera-solid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el-icon-scissors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el-icon-map-location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el-icon-pear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04D01" w:rsidRDefault="00304D01"/>
    <w:p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634" w:rsidRDefault="008A5634" w:rsidP="00DC37C4">
      <w:r>
        <w:separator/>
      </w:r>
    </w:p>
  </w:endnote>
  <w:endnote w:type="continuationSeparator" w:id="0">
    <w:p w:rsidR="008A5634" w:rsidRDefault="008A5634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634" w:rsidRDefault="008A5634" w:rsidP="00DC37C4">
      <w:r>
        <w:separator/>
      </w:r>
    </w:p>
  </w:footnote>
  <w:footnote w:type="continuationSeparator" w:id="0">
    <w:p w:rsidR="008A5634" w:rsidRDefault="008A5634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4065"/>
    <w:rsid w:val="008D294B"/>
    <w:rsid w:val="008D602C"/>
    <w:rsid w:val="008F0FD1"/>
    <w:rsid w:val="008F5B08"/>
    <w:rsid w:val="00901692"/>
    <w:rsid w:val="00903078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C2"/>
    <w:rsid w:val="00C2112C"/>
    <w:rsid w:val="00C21A0F"/>
    <w:rsid w:val="00C21E2A"/>
    <w:rsid w:val="00C2415E"/>
    <w:rsid w:val="00C31980"/>
    <w:rsid w:val="00C31EC6"/>
    <w:rsid w:val="00C445D0"/>
    <w:rsid w:val="00C61B9B"/>
    <w:rsid w:val="00C651B2"/>
    <w:rsid w:val="00C67889"/>
    <w:rsid w:val="00C678C2"/>
    <w:rsid w:val="00C70641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30726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25969</TotalTime>
  <Pages>31</Pages>
  <Words>3358</Words>
  <Characters>19147</Characters>
  <Application>Microsoft Office Word</Application>
  <DocSecurity>0</DocSecurity>
  <Lines>159</Lines>
  <Paragraphs>44</Paragraphs>
  <ScaleCrop>false</ScaleCrop>
  <Company/>
  <LinksUpToDate>false</LinksUpToDate>
  <CharactersWithSpaces>22461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498</cp:revision>
  <dcterms:created xsi:type="dcterms:W3CDTF">2020-05-09T07:49:00Z</dcterms:created>
  <dcterms:modified xsi:type="dcterms:W3CDTF">2021-03-12T12:12:00Z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