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Noto Sans CJK SC" w:hAnsi="Noto Sans CJK SC" w:eastAsia="Noto Sans CJK SC"/>
          <w:b/>
          <w:color w:val="1F4E78"/>
          <w:sz w:val="42"/>
        </w:rPr>
        <w:t>供应商管理、采购推荐与黑名单业务规则</w:t>
      </w:r>
    </w:p>
    <w:p>
      <w:pPr>
        <w:spacing w:after="200"/>
        <w:jc w:val="center"/>
      </w:pPr>
      <w:r>
        <w:rPr>
          <w:rFonts w:ascii="Noto Sans CJK SC" w:hAnsi="Noto Sans CJK SC" w:eastAsia="Noto Sans CJK SC"/>
          <w:b/>
          <w:color w:val="1F4E78"/>
          <w:sz w:val="28"/>
        </w:rPr>
        <w:t>（试行）</w:t>
      </w:r>
    </w:p>
    <w:p>
      <w:pPr>
        <w:spacing w:after="600"/>
        <w:jc w:val="center"/>
      </w:pPr>
      <w:r>
        <w:rPr>
          <w:rFonts w:ascii="Noto Sans CJK SC" w:hAnsi="Noto Sans CJK SC" w:eastAsia="Noto Sans CJK SC"/>
          <w:color w:val="666666"/>
          <w:sz w:val="26"/>
        </w:rPr>
        <w:t>内部业务指引</w:t>
      </w:r>
    </w:p>
    <w:tbl>
      <w:tblPr>
        <w:tblW w:type="auto" w:w="0"/>
        <w:jc w:val="center"/>
        <w:tblLayout w:type="fixed"/>
        <w:tblLook w:firstColumn="1" w:firstRow="1" w:lastColumn="0" w:lastRow="0" w:noHBand="0" w:noVBand="1" w:val="04A0"/>
      </w:tblPr>
      <w:tblGrid>
        <w:gridCol w:w="4422"/>
        <w:gridCol w:w="4422"/>
      </w:tblGrid>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文件编号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CGXT-ZY-04</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1.0</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版本状态</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试行</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适用系统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数据中心设备采购智能协同系统</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适用对象</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楼长、采购员、系统管理员及相关查询人员</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生效日期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2026年8月6日</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编制部门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采购业务管理组</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文件性质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内部业务指引</w:t>
            </w:r>
          </w:p>
        </w:tc>
      </w:tr>
    </w:tbl>
    <w:p/>
    <w:tbl>
      <w:tblPr>
        <w:tblW w:type="auto" w:w="0"/>
        <w:jc w:val="center"/>
        <w:tblLook w:firstColumn="1" w:firstRow="1" w:lastColumn="0" w:lastRow="0" w:noHBand="0" w:noVBand="1" w:val="04A0"/>
      </w:tblPr>
      <w:tblGrid>
        <w:gridCol w:w="8844"/>
      </w:tblGrid>
      <w:tr>
        <w:tc>
          <w:tcPr>
            <w:tcW w:type="dxa" w:w="8844"/>
            <w:shd w:fill="F2F2F2"/>
            <w:tcBorders>
              <w:top w:val="single" w:sz="8" w:color="B7C9D6"/>
              <w:left w:val="single" w:sz="8" w:color="B7C9D6"/>
              <w:bottom w:val="single" w:sz="8" w:color="B7C9D6"/>
              <w:right w:val="single" w:sz="8" w:color="B7C9D6"/>
            </w:tcBorders>
          </w:tcPr>
          <w:p>
            <w:pPr>
              <w:spacing w:line="324" w:lineRule="auto"/>
            </w:pPr>
            <w:r>
              <w:rPr>
                <w:rFonts w:ascii="Noto Serif CJK SC" w:hAnsi="Noto Serif CJK SC" w:eastAsia="Noto Serif CJK SC"/>
                <w:color w:val="4D4D4D"/>
                <w:sz w:val="19"/>
              </w:rPr>
              <w:t>说明：本文件为数据中心设备采购智能协同系统项目使用的内部业务指引，用于规范系统中的采购办理和功能演示，不替代企业现行正式管理制度。</w:t>
            </w:r>
          </w:p>
        </w:tc>
      </w:tr>
    </w:tbl>
    <w:p>
      <w:pPr>
        <w:spacing w:before="700"/>
        <w:jc w:val="center"/>
      </w:pPr>
      <w:r>
        <w:rPr>
          <w:rFonts w:ascii="Noto Serif CJK SC" w:hAnsi="Noto Serif CJK SC" w:eastAsia="Noto Serif CJK SC"/>
          <w:color w:val="666666"/>
          <w:sz w:val="21"/>
        </w:rPr>
        <w:t>2026年8月6日</w:t>
      </w:r>
    </w:p>
    <w:p>
      <w:pPr>
        <w:sectPr>
          <w:pgSz w:w="11906" w:h="16838"/>
          <w:pgMar w:top="1587" w:right="1531" w:bottom="1417" w:left="1531" w:header="720" w:footer="720" w:gutter="0"/>
          <w:cols w:space="720"/>
          <w:docGrid w:linePitch="360"/>
        </w:sectPr>
      </w:pPr>
    </w:p>
    <w:p>
      <w:pPr>
        <w:spacing w:after="360"/>
        <w:jc w:val="center"/>
      </w:pPr>
      <w:r>
        <w:rPr>
          <w:rFonts w:ascii="Noto Sans CJK SC" w:hAnsi="Noto Sans CJK SC" w:eastAsia="Noto Sans CJK SC"/>
          <w:b/>
          <w:color w:val="1F4E78"/>
          <w:sz w:val="36"/>
        </w:rPr>
        <w:t>目  录</w:t>
      </w:r>
    </w:p>
    <w:p>
      <w:pPr>
        <w:spacing w:after="100"/>
        <w:ind w:left="454" w:right="454"/>
        <w:pBdr>
          <w:bottom w:val="single" w:sz="3" w:space="4" w:color="D9D9D9"/>
        </w:pBdr>
      </w:pPr>
      <w:r>
        <w:rPr>
          <w:rFonts w:ascii="Noto Serif CJK SC" w:hAnsi="Noto Serif CJK SC" w:eastAsia="Noto Serif CJK SC"/>
          <w:sz w:val="22"/>
        </w:rPr>
        <w:t>第一章 总则</w:t>
      </w:r>
    </w:p>
    <w:p>
      <w:pPr>
        <w:spacing w:after="100"/>
        <w:ind w:left="454" w:right="454"/>
        <w:pBdr>
          <w:bottom w:val="single" w:sz="3" w:space="4" w:color="D9D9D9"/>
        </w:pBdr>
      </w:pPr>
      <w:r>
        <w:rPr>
          <w:rFonts w:ascii="Noto Serif CJK SC" w:hAnsi="Noto Serif CJK SC" w:eastAsia="Noto Serif CJK SC"/>
          <w:sz w:val="22"/>
        </w:rPr>
        <w:t>第二章 供应商主档</w:t>
      </w:r>
    </w:p>
    <w:p>
      <w:pPr>
        <w:spacing w:after="100"/>
        <w:ind w:left="454" w:right="454"/>
        <w:pBdr>
          <w:bottom w:val="single" w:sz="3" w:space="4" w:color="D9D9D9"/>
        </w:pBdr>
      </w:pPr>
      <w:r>
        <w:rPr>
          <w:rFonts w:ascii="Noto Serif CJK SC" w:hAnsi="Noto Serif CJK SC" w:eastAsia="Noto Serif CJK SC"/>
          <w:sz w:val="22"/>
        </w:rPr>
        <w:t>第三章 采购快照与主档更新</w:t>
      </w:r>
    </w:p>
    <w:p>
      <w:pPr>
        <w:spacing w:after="100"/>
        <w:ind w:left="454" w:right="454"/>
        <w:pBdr>
          <w:bottom w:val="single" w:sz="3" w:space="4" w:color="D9D9D9"/>
        </w:pBdr>
      </w:pPr>
      <w:r>
        <w:rPr>
          <w:rFonts w:ascii="Noto Serif CJK SC" w:hAnsi="Noto Serif CJK SC" w:eastAsia="Noto Serif CJK SC"/>
          <w:sz w:val="22"/>
        </w:rPr>
        <w:t>第四章 产品和历史采购推荐</w:t>
      </w:r>
    </w:p>
    <w:p>
      <w:pPr>
        <w:spacing w:after="100"/>
        <w:ind w:left="454" w:right="454"/>
        <w:pBdr>
          <w:bottom w:val="single" w:sz="3" w:space="4" w:color="D9D9D9"/>
        </w:pBdr>
      </w:pPr>
      <w:r>
        <w:rPr>
          <w:rFonts w:ascii="Noto Serif CJK SC" w:hAnsi="Noto Serif CJK SC" w:eastAsia="Noto Serif CJK SC"/>
          <w:sz w:val="22"/>
        </w:rPr>
        <w:t>第五章 黑名单登记</w:t>
      </w:r>
    </w:p>
    <w:p>
      <w:pPr>
        <w:spacing w:after="100"/>
        <w:ind w:left="454" w:right="454"/>
        <w:pBdr>
          <w:bottom w:val="single" w:sz="3" w:space="4" w:color="D9D9D9"/>
        </w:pBdr>
      </w:pPr>
      <w:r>
        <w:rPr>
          <w:rFonts w:ascii="Noto Serif CJK SC" w:hAnsi="Noto Serif CJK SC" w:eastAsia="Noto Serif CJK SC"/>
          <w:sz w:val="22"/>
        </w:rPr>
        <w:t>第六章 黑名单解除</w:t>
      </w:r>
    </w:p>
    <w:p>
      <w:pPr>
        <w:spacing w:after="100"/>
        <w:ind w:left="454" w:right="454"/>
        <w:pBdr>
          <w:bottom w:val="single" w:sz="3" w:space="4" w:color="D9D9D9"/>
        </w:pBdr>
      </w:pPr>
      <w:r>
        <w:rPr>
          <w:rFonts w:ascii="Noto Serif CJK SC" w:hAnsi="Noto Serif CJK SC" w:eastAsia="Noto Serif CJK SC"/>
          <w:sz w:val="22"/>
        </w:rPr>
        <w:t>第七章 黑名单在业务中的使用</w:t>
      </w:r>
    </w:p>
    <w:p>
      <w:pPr>
        <w:spacing w:after="100"/>
        <w:ind w:left="454" w:right="454"/>
        <w:pBdr>
          <w:bottom w:val="single" w:sz="3" w:space="4" w:color="D9D9D9"/>
        </w:pBdr>
      </w:pPr>
      <w:r>
        <w:rPr>
          <w:rFonts w:ascii="Noto Serif CJK SC" w:hAnsi="Noto Serif CJK SC" w:eastAsia="Noto Serif CJK SC"/>
          <w:sz w:val="22"/>
        </w:rPr>
        <w:t>第八章 异常处理</w:t>
      </w:r>
    </w:p>
    <w:p>
      <w:pPr>
        <w:spacing w:after="100"/>
        <w:ind w:left="454" w:right="454"/>
        <w:pBdr>
          <w:bottom w:val="single" w:sz="3" w:space="4" w:color="D9D9D9"/>
        </w:pBdr>
      </w:pPr>
      <w:r>
        <w:rPr>
          <w:rFonts w:ascii="Noto Serif CJK SC" w:hAnsi="Noto Serif CJK SC" w:eastAsia="Noto Serif CJK SC"/>
          <w:sz w:val="22"/>
        </w:rPr>
        <w:t>第九章 附则</w:t>
      </w:r>
    </w:p>
    <w:p>
      <w:pPr>
        <w:spacing w:after="100"/>
        <w:ind w:left="454" w:right="454"/>
        <w:pBdr>
          <w:bottom w:val="single" w:sz="3" w:space="4" w:color="D9D9D9"/>
        </w:pBdr>
      </w:pPr>
      <w:r>
        <w:rPr>
          <w:rFonts w:ascii="Noto Serif CJK SC" w:hAnsi="Noto Serif CJK SC" w:eastAsia="Noto Serif CJK SC"/>
          <w:sz w:val="22"/>
        </w:rPr>
        <w:t>关键词索引</w:t>
      </w:r>
    </w:p>
    <w:p>
      <w:pPr>
        <w:spacing w:after="100"/>
        <w:ind w:left="454" w:right="454"/>
        <w:pBdr>
          <w:bottom w:val="single" w:sz="3" w:space="4" w:color="D9D9D9"/>
        </w:pBdr>
      </w:pPr>
      <w:r>
        <w:rPr>
          <w:rFonts w:ascii="Noto Serif CJK SC" w:hAnsi="Noto Serif CJK SC" w:eastAsia="Noto Serif CJK SC"/>
          <w:sz w:val="22"/>
        </w:rPr>
        <w:t>版本修订记录</w:t>
      </w:r>
    </w:p>
    <w:p>
      <w:r>
        <w:br w:type="page"/>
      </w:r>
    </w:p>
    <w:p>
      <w:pPr>
        <w:pStyle w:val="Heading1"/>
        <w:pBdr>
          <w:bottom w:val="single" w:sz="8" w:space="4" w:color="1F4E78"/>
        </w:pBdr>
      </w:pPr>
      <w:r>
        <w:rPr>
          <w:rFonts w:ascii="Noto Sans CJK SC" w:hAnsi="Noto Sans CJK SC" w:eastAsia="Noto Sans CJK SC"/>
          <w:sz w:val="32"/>
        </w:rPr>
        <w:t>第一章 总则</w:t>
      </w:r>
    </w:p>
    <w:p>
      <w:pPr>
        <w:pStyle w:val="Heading2"/>
      </w:pPr>
      <w:r>
        <w:rPr>
          <w:rFonts w:ascii="Noto Sans CJK SC" w:hAnsi="Noto Sans CJK SC" w:eastAsia="Noto Sans CJK SC"/>
          <w:sz w:val="26"/>
        </w:rPr>
        <w:t>第一条 编制目的</w:t>
      </w:r>
    </w:p>
    <w:p>
      <w:pPr>
        <w:spacing w:line="360" w:lineRule="auto" w:after="80"/>
        <w:ind w:firstLine="420"/>
        <w:jc w:val="both"/>
      </w:pPr>
      <w:r>
        <w:rPr>
          <w:rFonts w:ascii="Noto Serif CJK SC" w:hAnsi="Noto Serif CJK SC" w:eastAsia="Noto Serif CJK SC"/>
          <w:sz w:val="21"/>
        </w:rPr>
        <w:t>为规范供应商资料维护、历史推荐使用和黑名单管理，保证供应商信息真实、可追溯，降低采购办理风险，制定本规则。</w:t>
      </w:r>
    </w:p>
    <w:p>
      <w:pPr>
        <w:pStyle w:val="Heading2"/>
      </w:pPr>
      <w:r>
        <w:rPr>
          <w:rFonts w:ascii="Noto Sans CJK SC" w:hAnsi="Noto Sans CJK SC" w:eastAsia="Noto Sans CJK SC"/>
          <w:sz w:val="26"/>
        </w:rPr>
        <w:t>第二条 基本原则</w:t>
      </w:r>
    </w:p>
    <w:p>
      <w:pPr>
        <w:spacing w:line="324" w:lineRule="auto" w:after="60"/>
        <w:ind w:left="420" w:hanging="420"/>
      </w:pPr>
      <w:r>
        <w:rPr>
          <w:rFonts w:ascii="Noto Serif CJK SC" w:hAnsi="Noto Serif CJK SC" w:eastAsia="Noto Serif CJK SC"/>
          <w:sz w:val="21"/>
        </w:rPr>
        <w:t>（一）供应商资料应当来源真实、内容准确。</w:t>
      </w:r>
    </w:p>
    <w:p>
      <w:pPr>
        <w:spacing w:line="324" w:lineRule="auto" w:after="60"/>
        <w:ind w:left="420" w:hanging="420"/>
      </w:pPr>
      <w:r>
        <w:rPr>
          <w:rFonts w:ascii="Noto Serif CJK SC" w:hAnsi="Noto Serif CJK SC" w:eastAsia="Noto Serif CJK SC"/>
          <w:sz w:val="21"/>
        </w:rPr>
        <w:t>（二）采购推荐仅作为历史参考，不替代市场询价、技术核验和人工判断。</w:t>
      </w:r>
    </w:p>
    <w:p>
      <w:pPr>
        <w:spacing w:line="324" w:lineRule="auto" w:after="60"/>
        <w:ind w:left="420" w:hanging="420"/>
      </w:pPr>
      <w:r>
        <w:rPr>
          <w:rFonts w:ascii="Noto Serif CJK SC" w:hAnsi="Noto Serif CJK SC" w:eastAsia="Noto Serif CJK SC"/>
          <w:sz w:val="21"/>
        </w:rPr>
        <w:t>（三）黑名单登记应当有已完成采购和实际履约事实作为依据。</w:t>
      </w:r>
    </w:p>
    <w:p>
      <w:pPr>
        <w:spacing w:line="324" w:lineRule="auto" w:after="60"/>
        <w:ind w:left="420" w:hanging="420"/>
      </w:pPr>
      <w:r>
        <w:rPr>
          <w:rFonts w:ascii="Noto Serif CJK SC" w:hAnsi="Noto Serif CJK SC" w:eastAsia="Noto Serif CJK SC"/>
          <w:sz w:val="21"/>
        </w:rPr>
        <w:t>（四）供应商敏感资料按照最小必要原则展示。</w:t>
      </w:r>
    </w:p>
    <w:p>
      <w:pPr>
        <w:spacing w:line="324" w:lineRule="auto" w:after="60"/>
        <w:ind w:left="420" w:hanging="420"/>
      </w:pPr>
      <w:r>
        <w:rPr>
          <w:rFonts w:ascii="Noto Serif CJK SC" w:hAnsi="Noto Serif CJK SC" w:eastAsia="Noto Serif CJK SC"/>
          <w:sz w:val="21"/>
        </w:rPr>
        <w:t>（五）供应商实时状态以系统查询结果为准。</w:t>
      </w:r>
    </w:p>
    <w:p>
      <w:pPr>
        <w:pStyle w:val="Heading1"/>
        <w:pBdr>
          <w:bottom w:val="single" w:sz="8" w:space="4" w:color="1F4E78"/>
        </w:pBdr>
      </w:pPr>
      <w:r>
        <w:rPr>
          <w:rFonts w:ascii="Noto Sans CJK SC" w:hAnsi="Noto Sans CJK SC" w:eastAsia="Noto Sans CJK SC"/>
          <w:sz w:val="32"/>
        </w:rPr>
        <w:t>第二章 供应商主档</w:t>
      </w:r>
    </w:p>
    <w:p>
      <w:pPr>
        <w:pStyle w:val="Heading2"/>
      </w:pPr>
      <w:r>
        <w:rPr>
          <w:rFonts w:ascii="Noto Sans CJK SC" w:hAnsi="Noto Sans CJK SC" w:eastAsia="Noto Sans CJK SC"/>
          <w:sz w:val="26"/>
        </w:rPr>
        <w:t>第三条 主档内容</w:t>
      </w:r>
    </w:p>
    <w:p>
      <w:pPr>
        <w:spacing w:line="360" w:lineRule="auto" w:after="80"/>
        <w:ind w:firstLine="420"/>
        <w:jc w:val="both"/>
      </w:pPr>
      <w:r>
        <w:rPr>
          <w:rFonts w:ascii="Noto Serif CJK SC" w:hAnsi="Noto Serif CJK SC" w:eastAsia="Noto Serif CJK SC"/>
          <w:sz w:val="21"/>
        </w:rPr>
        <w:t>供应商主档可以记录供应商名称、统一社会信用代码、开户行、银行账号、注册地址和合同联系信息。</w:t>
      </w:r>
    </w:p>
    <w:p>
      <w:pPr>
        <w:pStyle w:val="Heading2"/>
      </w:pPr>
      <w:r>
        <w:rPr>
          <w:rFonts w:ascii="Noto Sans CJK SC" w:hAnsi="Noto Sans CJK SC" w:eastAsia="Noto Sans CJK SC"/>
          <w:sz w:val="26"/>
        </w:rPr>
        <w:t>第四条 新增权限</w:t>
      </w:r>
    </w:p>
    <w:p>
      <w:pPr>
        <w:spacing w:line="360" w:lineRule="auto" w:after="80"/>
        <w:ind w:firstLine="420"/>
        <w:jc w:val="both"/>
      </w:pPr>
      <w:r>
        <w:rPr>
          <w:rFonts w:ascii="Noto Serif CJK SC" w:hAnsi="Noto Serif CJK SC" w:eastAsia="Noto Serif CJK SC"/>
          <w:sz w:val="21"/>
        </w:rPr>
        <w:t>采购员和系统管理员可以新增供应商。新增前应当按名称和统一社会信用代码检索，避免重复建立。</w:t>
      </w:r>
    </w:p>
    <w:p>
      <w:pPr>
        <w:spacing w:line="360" w:lineRule="auto" w:after="80"/>
        <w:ind w:firstLine="420"/>
        <w:jc w:val="both"/>
      </w:pPr>
      <w:r>
        <w:rPr>
          <w:rFonts w:ascii="Noto Serif CJK SC" w:hAnsi="Noto Serif CJK SC" w:eastAsia="Noto Serif CJK SC"/>
          <w:sz w:val="21"/>
        </w:rPr>
        <w:t>系统提示存在疑似重复供应商时，应当先核对已有主档，不得为绕过提示随意修改供应商名称。</w:t>
      </w:r>
    </w:p>
    <w:p>
      <w:pPr>
        <w:pStyle w:val="Heading2"/>
      </w:pPr>
      <w:r>
        <w:rPr>
          <w:rFonts w:ascii="Noto Sans CJK SC" w:hAnsi="Noto Sans CJK SC" w:eastAsia="Noto Sans CJK SC"/>
          <w:sz w:val="26"/>
        </w:rPr>
        <w:t>第五条 供应商有效状态</w:t>
      </w:r>
    </w:p>
    <w:p>
      <w:pPr>
        <w:spacing w:line="360" w:lineRule="auto" w:after="80"/>
        <w:ind w:firstLine="420"/>
        <w:jc w:val="both"/>
      </w:pPr>
      <w:r>
        <w:rPr>
          <w:rFonts w:ascii="Noto Serif CJK SC" w:hAnsi="Noto Serif CJK SC" w:eastAsia="Noto Serif CJK SC"/>
          <w:sz w:val="21"/>
        </w:rPr>
        <w:t>已停用或不存在的供应商不得用于新的采购登记。发现供应商主体变化、注销或资料失效时，应当联系系统管理员核实处理。</w:t>
      </w:r>
    </w:p>
    <w:p>
      <w:pPr>
        <w:pStyle w:val="Heading2"/>
      </w:pPr>
      <w:r>
        <w:rPr>
          <w:rFonts w:ascii="Noto Sans CJK SC" w:hAnsi="Noto Sans CJK SC" w:eastAsia="Noto Sans CJK SC"/>
          <w:sz w:val="26"/>
        </w:rPr>
        <w:t>第六条 财务信息展示</w:t>
      </w:r>
    </w:p>
    <w:p>
      <w:pPr>
        <w:spacing w:line="360" w:lineRule="auto" w:after="80"/>
        <w:ind w:firstLine="420"/>
        <w:jc w:val="both"/>
      </w:pPr>
      <w:r>
        <w:rPr>
          <w:rFonts w:ascii="Noto Serif CJK SC" w:hAnsi="Noto Serif CJK SC" w:eastAsia="Noto Serif CJK SC"/>
          <w:sz w:val="21"/>
        </w:rPr>
        <w:t>供应商银行账号等财务信息仅向采购员和系统管理员按业务需要展示完整内容。其他角色查看时，应当以脱敏形式展示。</w:t>
      </w:r>
    </w:p>
    <w:p>
      <w:pPr>
        <w:pStyle w:val="Heading1"/>
        <w:pBdr>
          <w:bottom w:val="single" w:sz="8" w:space="4" w:color="1F4E78"/>
        </w:pBdr>
      </w:pPr>
      <w:r>
        <w:rPr>
          <w:rFonts w:ascii="Noto Sans CJK SC" w:hAnsi="Noto Sans CJK SC" w:eastAsia="Noto Sans CJK SC"/>
          <w:sz w:val="32"/>
        </w:rPr>
        <w:t>第三章 采购快照与主档更新</w:t>
      </w:r>
    </w:p>
    <w:p>
      <w:pPr>
        <w:pStyle w:val="Heading2"/>
      </w:pPr>
      <w:r>
        <w:rPr>
          <w:rFonts w:ascii="Noto Sans CJK SC" w:hAnsi="Noto Sans CJK SC" w:eastAsia="Noto Sans CJK SC"/>
          <w:sz w:val="26"/>
        </w:rPr>
        <w:t>第七条 采购快照</w:t>
      </w:r>
    </w:p>
    <w:p>
      <w:pPr>
        <w:spacing w:line="360" w:lineRule="auto" w:after="80"/>
        <w:ind w:firstLine="420"/>
        <w:jc w:val="both"/>
      </w:pPr>
      <w:r>
        <w:rPr>
          <w:rFonts w:ascii="Noto Serif CJK SC" w:hAnsi="Noto Serif CJK SC" w:eastAsia="Noto Serif CJK SC"/>
          <w:sz w:val="21"/>
        </w:rPr>
        <w:t>每次采购均保存本次采购使用的供应商资料快照，包括成交时的供应商名称及相关联系、结算资料。</w:t>
      </w:r>
    </w:p>
    <w:p>
      <w:pPr>
        <w:spacing w:line="360" w:lineRule="auto" w:after="80"/>
        <w:ind w:firstLine="420"/>
        <w:jc w:val="both"/>
      </w:pPr>
      <w:r>
        <w:rPr>
          <w:rFonts w:ascii="Noto Serif CJK SC" w:hAnsi="Noto Serif CJK SC" w:eastAsia="Noto Serif CJK SC"/>
          <w:sz w:val="21"/>
        </w:rPr>
        <w:t>采购快照用于还原当时的采购事实，即使供应商主档后续更新，历史采购快照仍应保留。</w:t>
      </w:r>
    </w:p>
    <w:p>
      <w:pPr>
        <w:pStyle w:val="Heading2"/>
      </w:pPr>
      <w:r>
        <w:rPr>
          <w:rFonts w:ascii="Noto Sans CJK SC" w:hAnsi="Noto Sans CJK SC" w:eastAsia="Noto Sans CJK SC"/>
          <w:sz w:val="26"/>
        </w:rPr>
        <w:t>第八条 主档更新</w:t>
      </w:r>
    </w:p>
    <w:p>
      <w:pPr>
        <w:spacing w:line="360" w:lineRule="auto" w:after="80"/>
        <w:ind w:firstLine="420"/>
        <w:jc w:val="both"/>
      </w:pPr>
      <w:r>
        <w:rPr>
          <w:rFonts w:ascii="Noto Serif CJK SC" w:hAnsi="Noto Serif CJK SC" w:eastAsia="Noto Serif CJK SC"/>
          <w:sz w:val="21"/>
        </w:rPr>
        <w:t>采购员在保存本次采购资料时，可以选择是否将经核实的供应商资料同步更新至主档。</w:t>
      </w:r>
    </w:p>
    <w:p>
      <w:pPr>
        <w:spacing w:line="360" w:lineRule="auto" w:after="80"/>
        <w:ind w:firstLine="420"/>
        <w:jc w:val="both"/>
      </w:pPr>
      <w:r>
        <w:rPr>
          <w:rFonts w:ascii="Noto Serif CJK SC" w:hAnsi="Noto Serif CJK SC" w:eastAsia="Noto Serif CJK SC"/>
          <w:sz w:val="21"/>
        </w:rPr>
        <w:t>未选择同步更新的，不影响本次采购记录保存；本次资料仍作为采购快照留存。</w:t>
      </w:r>
    </w:p>
    <w:p>
      <w:pPr>
        <w:pStyle w:val="Heading2"/>
      </w:pPr>
      <w:r>
        <w:rPr>
          <w:rFonts w:ascii="Noto Sans CJK SC" w:hAnsi="Noto Sans CJK SC" w:eastAsia="Noto Sans CJK SC"/>
          <w:sz w:val="26"/>
        </w:rPr>
        <w:t>第九条 更新责任</w:t>
      </w:r>
    </w:p>
    <w:p>
      <w:pPr>
        <w:spacing w:line="360" w:lineRule="auto" w:after="80"/>
        <w:ind w:firstLine="420"/>
        <w:jc w:val="both"/>
      </w:pPr>
      <w:r>
        <w:rPr>
          <w:rFonts w:ascii="Noto Serif CJK SC" w:hAnsi="Noto Serif CJK SC" w:eastAsia="Noto Serif CJK SC"/>
          <w:sz w:val="21"/>
        </w:rPr>
        <w:t>采购员选择同步更新主档前，应当确认资料来源可靠。因未核实导致主档错误的，由本次更新经办人承担相应核实责任。</w:t>
      </w:r>
    </w:p>
    <w:p>
      <w:pPr>
        <w:pStyle w:val="Heading1"/>
        <w:pBdr>
          <w:bottom w:val="single" w:sz="8" w:space="4" w:color="1F4E78"/>
        </w:pBdr>
      </w:pPr>
      <w:r>
        <w:rPr>
          <w:rFonts w:ascii="Noto Sans CJK SC" w:hAnsi="Noto Sans CJK SC" w:eastAsia="Noto Sans CJK SC"/>
          <w:sz w:val="32"/>
        </w:rPr>
        <w:t>第四章 产品和历史采购推荐</w:t>
      </w:r>
    </w:p>
    <w:p>
      <w:pPr>
        <w:pStyle w:val="Heading2"/>
      </w:pPr>
      <w:r>
        <w:rPr>
          <w:rFonts w:ascii="Noto Sans CJK SC" w:hAnsi="Noto Sans CJK SC" w:eastAsia="Noto Sans CJK SC"/>
          <w:sz w:val="26"/>
        </w:rPr>
        <w:t>第十条 历史品牌型号推荐</w:t>
      </w:r>
    </w:p>
    <w:p>
      <w:pPr>
        <w:spacing w:line="360" w:lineRule="auto" w:after="80"/>
        <w:ind w:firstLine="420"/>
        <w:jc w:val="both"/>
      </w:pPr>
      <w:r>
        <w:rPr>
          <w:rFonts w:ascii="Noto Serif CJK SC" w:hAnsi="Noto Serif CJK SC" w:eastAsia="Noto Serif CJK SC"/>
          <w:sz w:val="21"/>
        </w:rPr>
        <w:t>系统可以根据设备专业、设备名称和关键词，从历史采购记录中推荐曾经采购过的品牌和型号，并显示历史采购次数和最近采购时间。</w:t>
      </w:r>
    </w:p>
    <w:p>
      <w:pPr>
        <w:pStyle w:val="Heading2"/>
      </w:pPr>
      <w:r>
        <w:rPr>
          <w:rFonts w:ascii="Noto Sans CJK SC" w:hAnsi="Noto Sans CJK SC" w:eastAsia="Noto Sans CJK SC"/>
          <w:sz w:val="26"/>
        </w:rPr>
        <w:t>第十一条 相似采购推荐</w:t>
      </w:r>
    </w:p>
    <w:p>
      <w:pPr>
        <w:spacing w:line="360" w:lineRule="auto" w:after="80"/>
        <w:ind w:firstLine="420"/>
        <w:jc w:val="both"/>
      </w:pPr>
      <w:r>
        <w:rPr>
          <w:rFonts w:ascii="Noto Serif CJK SC" w:hAnsi="Noto Serif CJK SC" w:eastAsia="Noto Serif CJK SC"/>
          <w:sz w:val="21"/>
        </w:rPr>
        <w:t>楼长、采购员和系统管理员可以根据当前采购申请查询相似历史采购。推荐结果可以包括设备名称、品牌型号、数量、供应商、采购金额、采购时间和当时的黑名单状态。</w:t>
      </w:r>
    </w:p>
    <w:p>
      <w:pPr>
        <w:pStyle w:val="Heading2"/>
      </w:pPr>
      <w:r>
        <w:rPr>
          <w:rFonts w:ascii="Noto Sans CJK SC" w:hAnsi="Noto Sans CJK SC" w:eastAsia="Noto Sans CJK SC"/>
          <w:sz w:val="26"/>
        </w:rPr>
        <w:t>第十二条 供应商推荐</w:t>
      </w:r>
    </w:p>
    <w:p>
      <w:pPr>
        <w:spacing w:line="360" w:lineRule="auto" w:after="80"/>
        <w:ind w:firstLine="420"/>
        <w:jc w:val="both"/>
      </w:pPr>
      <w:r>
        <w:rPr>
          <w:rFonts w:ascii="Noto Serif CJK SC" w:hAnsi="Noto Serif CJK SC" w:eastAsia="Noto Serif CJK SC"/>
          <w:sz w:val="21"/>
        </w:rPr>
        <w:t>系统可以根据同类设备的历史采购记录推荐供应商。处于有效黑名单状态的供应商不应进入正常推荐结果。</w:t>
      </w:r>
    </w:p>
    <w:p>
      <w:pPr>
        <w:pStyle w:val="Heading2"/>
      </w:pPr>
      <w:r>
        <w:rPr>
          <w:rFonts w:ascii="Noto Sans CJK SC" w:hAnsi="Noto Sans CJK SC" w:eastAsia="Noto Sans CJK SC"/>
          <w:sz w:val="26"/>
        </w:rPr>
        <w:t>第十三条 推荐使用要求</w:t>
      </w:r>
    </w:p>
    <w:p>
      <w:pPr>
        <w:spacing w:line="360" w:lineRule="auto" w:after="80"/>
        <w:ind w:firstLine="420"/>
        <w:jc w:val="both"/>
      </w:pPr>
      <w:r>
        <w:rPr>
          <w:rFonts w:ascii="Noto Serif CJK SC" w:hAnsi="Noto Serif CJK SC" w:eastAsia="Noto Serif CJK SC"/>
          <w:sz w:val="21"/>
        </w:rPr>
        <w:t>推荐结果应当作为以下工作的参考：</w:t>
      </w:r>
    </w:p>
    <w:p>
      <w:pPr>
        <w:spacing w:line="324" w:lineRule="auto" w:after="60"/>
        <w:ind w:left="420" w:hanging="420"/>
      </w:pPr>
      <w:r>
        <w:rPr>
          <w:rFonts w:ascii="Noto Serif CJK SC" w:hAnsi="Noto Serif CJK SC" w:eastAsia="Noto Serif CJK SC"/>
          <w:sz w:val="21"/>
        </w:rPr>
        <w:t>1.  核对历史采购品牌和型号；</w:t>
      </w:r>
    </w:p>
    <w:p>
      <w:pPr>
        <w:spacing w:line="324" w:lineRule="auto" w:after="60"/>
        <w:ind w:left="420" w:hanging="420"/>
      </w:pPr>
      <w:r>
        <w:rPr>
          <w:rFonts w:ascii="Noto Serif CJK SC" w:hAnsi="Noto Serif CJK SC" w:eastAsia="Noto Serif CJK SC"/>
          <w:sz w:val="21"/>
        </w:rPr>
        <w:t>2.  了解历史采购价格和数量；</w:t>
      </w:r>
    </w:p>
    <w:p>
      <w:pPr>
        <w:spacing w:line="324" w:lineRule="auto" w:after="60"/>
        <w:ind w:left="420" w:hanging="420"/>
      </w:pPr>
      <w:r>
        <w:rPr>
          <w:rFonts w:ascii="Noto Serif CJK SC" w:hAnsi="Noto Serif CJK SC" w:eastAsia="Noto Serif CJK SC"/>
          <w:sz w:val="21"/>
        </w:rPr>
        <w:t>3.  查找曾经合作的供应商；</w:t>
      </w:r>
    </w:p>
    <w:p>
      <w:pPr>
        <w:spacing w:line="324" w:lineRule="auto" w:after="60"/>
        <w:ind w:left="420" w:hanging="420"/>
      </w:pPr>
      <w:r>
        <w:rPr>
          <w:rFonts w:ascii="Noto Serif CJK SC" w:hAnsi="Noto Serif CJK SC" w:eastAsia="Noto Serif CJK SC"/>
          <w:sz w:val="21"/>
        </w:rPr>
        <w:t>4.  发现相似申请和可能的重复采购；</w:t>
      </w:r>
    </w:p>
    <w:p>
      <w:pPr>
        <w:spacing w:line="324" w:lineRule="auto" w:after="60"/>
        <w:ind w:left="420" w:hanging="420"/>
      </w:pPr>
      <w:r>
        <w:rPr>
          <w:rFonts w:ascii="Noto Serif CJK SC" w:hAnsi="Noto Serif CJK SC" w:eastAsia="Noto Serif CJK SC"/>
          <w:sz w:val="21"/>
        </w:rPr>
        <w:t>5.  为询价和审核提供线索。</w:t>
      </w:r>
    </w:p>
    <w:p>
      <w:pPr>
        <w:pStyle w:val="Heading2"/>
      </w:pPr>
      <w:r>
        <w:rPr>
          <w:rFonts w:ascii="Noto Sans CJK SC" w:hAnsi="Noto Sans CJK SC" w:eastAsia="Noto Sans CJK SC"/>
          <w:sz w:val="26"/>
        </w:rPr>
        <w:t>第十四条 推荐结果限制</w:t>
      </w:r>
    </w:p>
    <w:p>
      <w:pPr>
        <w:spacing w:line="360" w:lineRule="auto" w:after="80"/>
        <w:ind w:firstLine="420"/>
        <w:jc w:val="both"/>
      </w:pPr>
      <w:r>
        <w:rPr>
          <w:rFonts w:ascii="Noto Serif CJK SC" w:hAnsi="Noto Serif CJK SC" w:eastAsia="Noto Serif CJK SC"/>
          <w:sz w:val="21"/>
        </w:rPr>
        <w:t>推荐结果不得被解释为：</w:t>
      </w:r>
    </w:p>
    <w:p>
      <w:pPr>
        <w:spacing w:line="324" w:lineRule="auto" w:after="60"/>
        <w:ind w:left="420" w:hanging="420"/>
      </w:pPr>
      <w:r>
        <w:rPr>
          <w:rFonts w:ascii="Noto Serif CJK SC" w:hAnsi="Noto Serif CJK SC" w:eastAsia="Noto Serif CJK SC"/>
          <w:sz w:val="21"/>
        </w:rPr>
        <w:t>1.  对产品质量的保证；</w:t>
      </w:r>
    </w:p>
    <w:p>
      <w:pPr>
        <w:spacing w:line="324" w:lineRule="auto" w:after="60"/>
        <w:ind w:left="420" w:hanging="420"/>
      </w:pPr>
      <w:r>
        <w:rPr>
          <w:rFonts w:ascii="Noto Serif CJK SC" w:hAnsi="Noto Serif CJK SC" w:eastAsia="Noto Serif CJK SC"/>
          <w:sz w:val="21"/>
        </w:rPr>
        <w:t>2.  对设备兼容性的确认；</w:t>
      </w:r>
    </w:p>
    <w:p>
      <w:pPr>
        <w:spacing w:line="324" w:lineRule="auto" w:after="60"/>
        <w:ind w:left="420" w:hanging="420"/>
      </w:pPr>
      <w:r>
        <w:rPr>
          <w:rFonts w:ascii="Noto Serif CJK SC" w:hAnsi="Noto Serif CJK SC" w:eastAsia="Noto Serif CJK SC"/>
          <w:sz w:val="21"/>
        </w:rPr>
        <w:t>3.  对供应商履约能力的最终结论；</w:t>
      </w:r>
    </w:p>
    <w:p>
      <w:pPr>
        <w:spacing w:line="324" w:lineRule="auto" w:after="60"/>
        <w:ind w:left="420" w:hanging="420"/>
      </w:pPr>
      <w:r>
        <w:rPr>
          <w:rFonts w:ascii="Noto Serif CJK SC" w:hAnsi="Noto Serif CJK SC" w:eastAsia="Noto Serif CJK SC"/>
          <w:sz w:val="21"/>
        </w:rPr>
        <w:t>4.  对市场最低价格的证明；</w:t>
      </w:r>
    </w:p>
    <w:p>
      <w:pPr>
        <w:spacing w:line="324" w:lineRule="auto" w:after="60"/>
        <w:ind w:left="420" w:hanging="420"/>
      </w:pPr>
      <w:r>
        <w:rPr>
          <w:rFonts w:ascii="Noto Serif CJK SC" w:hAnsi="Noto Serif CJK SC" w:eastAsia="Noto Serif CJK SC"/>
          <w:sz w:val="21"/>
        </w:rPr>
        <w:t>5.  对最终供应商选择的自动决定。</w:t>
      </w:r>
    </w:p>
    <w:p>
      <w:pPr>
        <w:spacing w:line="360" w:lineRule="auto" w:after="80"/>
        <w:ind w:firstLine="420"/>
        <w:jc w:val="both"/>
      </w:pPr>
      <w:r>
        <w:rPr>
          <w:rFonts w:ascii="Noto Serif CJK SC" w:hAnsi="Noto Serif CJK SC" w:eastAsia="Noto Serif CJK SC"/>
          <w:sz w:val="21"/>
        </w:rPr>
        <w:t>没有可靠兼容性资料时，系统和智能助手均不得承诺某品牌或型号一定适配现有设备。</w:t>
      </w:r>
    </w:p>
    <w:p>
      <w:pPr>
        <w:pStyle w:val="Heading1"/>
        <w:pBdr>
          <w:bottom w:val="single" w:sz="8" w:space="4" w:color="1F4E78"/>
        </w:pBdr>
      </w:pPr>
      <w:r>
        <w:rPr>
          <w:rFonts w:ascii="Noto Sans CJK SC" w:hAnsi="Noto Sans CJK SC" w:eastAsia="Noto Sans CJK SC"/>
          <w:sz w:val="32"/>
        </w:rPr>
        <w:t>第五章 黑名单登记</w:t>
      </w:r>
    </w:p>
    <w:p>
      <w:pPr>
        <w:pStyle w:val="Heading2"/>
      </w:pPr>
      <w:r>
        <w:rPr>
          <w:rFonts w:ascii="Noto Sans CJK SC" w:hAnsi="Noto Sans CJK SC" w:eastAsia="Noto Sans CJK SC"/>
          <w:sz w:val="26"/>
        </w:rPr>
        <w:t>第十五条 适用对象</w:t>
      </w:r>
    </w:p>
    <w:p>
      <w:pPr>
        <w:spacing w:line="360" w:lineRule="auto" w:after="80"/>
        <w:ind w:firstLine="420"/>
        <w:jc w:val="both"/>
      </w:pPr>
      <w:r>
        <w:rPr>
          <w:rFonts w:ascii="Noto Serif CJK SC" w:hAnsi="Noto Serif CJK SC" w:eastAsia="Noto Serif CJK SC"/>
          <w:sz w:val="21"/>
        </w:rPr>
        <w:t>黑名单仅针对供应商，不针对员工、品牌或设备型号。</w:t>
      </w:r>
    </w:p>
    <w:p>
      <w:pPr>
        <w:pStyle w:val="Heading2"/>
      </w:pPr>
      <w:r>
        <w:rPr>
          <w:rFonts w:ascii="Noto Sans CJK SC" w:hAnsi="Noto Sans CJK SC" w:eastAsia="Noto Sans CJK SC"/>
          <w:sz w:val="26"/>
        </w:rPr>
        <w:t>第十六条 登记权限</w:t>
      </w:r>
    </w:p>
    <w:p>
      <w:pPr>
        <w:spacing w:line="360" w:lineRule="auto" w:after="80"/>
        <w:ind w:firstLine="420"/>
        <w:jc w:val="both"/>
      </w:pPr>
      <w:r>
        <w:rPr>
          <w:rFonts w:ascii="Noto Serif CJK SC" w:hAnsi="Noto Serif CJK SC" w:eastAsia="Noto Serif CJK SC"/>
          <w:sz w:val="21"/>
        </w:rPr>
        <w:t>楼长可以根据本人管辖楼宇内已经完成的采购登记供应商黑名单。</w:t>
      </w:r>
    </w:p>
    <w:p>
      <w:pPr>
        <w:spacing w:line="360" w:lineRule="auto" w:after="80"/>
        <w:ind w:firstLine="420"/>
        <w:jc w:val="both"/>
      </w:pPr>
      <w:r>
        <w:rPr>
          <w:rFonts w:ascii="Noto Serif CJK SC" w:hAnsi="Noto Serif CJK SC" w:eastAsia="Noto Serif CJK SC"/>
          <w:sz w:val="21"/>
        </w:rPr>
        <w:t>登记黑名单时，应当同时满足：</w:t>
      </w:r>
    </w:p>
    <w:p>
      <w:pPr>
        <w:spacing w:line="324" w:lineRule="auto" w:after="60"/>
        <w:ind w:left="420" w:hanging="420"/>
      </w:pPr>
      <w:r>
        <w:rPr>
          <w:rFonts w:ascii="Noto Serif CJK SC" w:hAnsi="Noto Serif CJK SC" w:eastAsia="Noto Serif CJK SC"/>
          <w:sz w:val="21"/>
        </w:rPr>
        <w:t>1.  关联采购已经完成；</w:t>
      </w:r>
    </w:p>
    <w:p>
      <w:pPr>
        <w:spacing w:line="324" w:lineRule="auto" w:after="60"/>
        <w:ind w:left="420" w:hanging="420"/>
      </w:pPr>
      <w:r>
        <w:rPr>
          <w:rFonts w:ascii="Noto Serif CJK SC" w:hAnsi="Noto Serif CJK SC" w:eastAsia="Noto Serif CJK SC"/>
          <w:sz w:val="21"/>
        </w:rPr>
        <w:t>2.  被登记供应商是该次采购的实际供应商；</w:t>
      </w:r>
    </w:p>
    <w:p>
      <w:pPr>
        <w:spacing w:line="324" w:lineRule="auto" w:after="60"/>
        <w:ind w:left="420" w:hanging="420"/>
      </w:pPr>
      <w:r>
        <w:rPr>
          <w:rFonts w:ascii="Noto Serif CJK SC" w:hAnsi="Noto Serif CJK SC" w:eastAsia="Noto Serif CJK SC"/>
          <w:sz w:val="21"/>
        </w:rPr>
        <w:t>3.  当前不存在仍然有效的同一供应商黑名单；</w:t>
      </w:r>
    </w:p>
    <w:p>
      <w:pPr>
        <w:spacing w:line="324" w:lineRule="auto" w:after="60"/>
        <w:ind w:left="420" w:hanging="420"/>
      </w:pPr>
      <w:r>
        <w:rPr>
          <w:rFonts w:ascii="Noto Serif CJK SC" w:hAnsi="Noto Serif CJK SC" w:eastAsia="Noto Serif CJK SC"/>
          <w:sz w:val="21"/>
        </w:rPr>
        <w:t>4.  登记人属于该采购所在楼宇的楼长；</w:t>
      </w:r>
    </w:p>
    <w:p>
      <w:pPr>
        <w:spacing w:line="324" w:lineRule="auto" w:after="60"/>
        <w:ind w:left="420" w:hanging="420"/>
      </w:pPr>
      <w:r>
        <w:rPr>
          <w:rFonts w:ascii="Noto Serif CJK SC" w:hAnsi="Noto Serif CJK SC" w:eastAsia="Noto Serif CJK SC"/>
          <w:sz w:val="21"/>
        </w:rPr>
        <w:t>5.  黑名单类型、原因和生效时间填写完整。</w:t>
      </w:r>
    </w:p>
    <w:p>
      <w:pPr>
        <w:pStyle w:val="Heading2"/>
      </w:pPr>
      <w:r>
        <w:rPr>
          <w:rFonts w:ascii="Noto Sans CJK SC" w:hAnsi="Noto Sans CJK SC" w:eastAsia="Noto Sans CJK SC"/>
          <w:sz w:val="26"/>
        </w:rPr>
        <w:t>第十七条 黑名单依据</w:t>
      </w:r>
    </w:p>
    <w:p>
      <w:pPr>
        <w:spacing w:line="360" w:lineRule="auto" w:after="80"/>
        <w:ind w:firstLine="420"/>
        <w:jc w:val="both"/>
      </w:pPr>
      <w:r>
        <w:rPr>
          <w:rFonts w:ascii="Noto Serif CJK SC" w:hAnsi="Noto Serif CJK SC" w:eastAsia="Noto Serif CJK SC"/>
          <w:sz w:val="21"/>
        </w:rPr>
        <w:t>黑名单原因应当基于能够核实的采购或履约事实，包括但不限于：</w:t>
      </w:r>
    </w:p>
    <w:p>
      <w:pPr>
        <w:spacing w:line="324" w:lineRule="auto" w:after="60"/>
        <w:ind w:left="420" w:hanging="420"/>
      </w:pPr>
      <w:r>
        <w:rPr>
          <w:rFonts w:ascii="Noto Serif CJK SC" w:hAnsi="Noto Serif CJK SC" w:eastAsia="Noto Serif CJK SC"/>
          <w:sz w:val="21"/>
        </w:rPr>
        <w:t>1.  严重延期且无合理说明；</w:t>
      </w:r>
    </w:p>
    <w:p>
      <w:pPr>
        <w:spacing w:line="324" w:lineRule="auto" w:after="60"/>
        <w:ind w:left="420" w:hanging="420"/>
      </w:pPr>
      <w:r>
        <w:rPr>
          <w:rFonts w:ascii="Noto Serif CJK SC" w:hAnsi="Noto Serif CJK SC" w:eastAsia="Noto Serif CJK SC"/>
          <w:sz w:val="21"/>
        </w:rPr>
        <w:t>2.  交付数量或质量存在重大问题；</w:t>
      </w:r>
    </w:p>
    <w:p>
      <w:pPr>
        <w:spacing w:line="324" w:lineRule="auto" w:after="60"/>
        <w:ind w:left="420" w:hanging="420"/>
      </w:pPr>
      <w:r>
        <w:rPr>
          <w:rFonts w:ascii="Noto Serif CJK SC" w:hAnsi="Noto Serif CJK SC" w:eastAsia="Noto Serif CJK SC"/>
          <w:sz w:val="21"/>
        </w:rPr>
        <w:t>3.  供应商资料不实；</w:t>
      </w:r>
    </w:p>
    <w:p>
      <w:pPr>
        <w:spacing w:line="324" w:lineRule="auto" w:after="60"/>
        <w:ind w:left="420" w:hanging="420"/>
      </w:pPr>
      <w:r>
        <w:rPr>
          <w:rFonts w:ascii="Noto Serif CJK SC" w:hAnsi="Noto Serif CJK SC" w:eastAsia="Noto Serif CJK SC"/>
          <w:sz w:val="21"/>
        </w:rPr>
        <w:t>4.  拒不履行约定事项；</w:t>
      </w:r>
    </w:p>
    <w:p>
      <w:pPr>
        <w:spacing w:line="324" w:lineRule="auto" w:after="60"/>
        <w:ind w:left="420" w:hanging="420"/>
      </w:pPr>
      <w:r>
        <w:rPr>
          <w:rFonts w:ascii="Noto Serif CJK SC" w:hAnsi="Noto Serif CJK SC" w:eastAsia="Noto Serif CJK SC"/>
          <w:sz w:val="21"/>
        </w:rPr>
        <w:t>5.  其他经业务核实不宜继续推荐的情形。</w:t>
      </w:r>
    </w:p>
    <w:p>
      <w:pPr>
        <w:spacing w:line="360" w:lineRule="auto" w:after="80"/>
        <w:ind w:firstLine="420"/>
        <w:jc w:val="both"/>
      </w:pPr>
      <w:r>
        <w:rPr>
          <w:rFonts w:ascii="Noto Serif CJK SC" w:hAnsi="Noto Serif CJK SC" w:eastAsia="Noto Serif CJK SC"/>
          <w:sz w:val="21"/>
        </w:rPr>
        <w:t>不得仅因个人偏好、一般沟通分歧或缺少证据的怀疑登记黑名单。</w:t>
      </w:r>
    </w:p>
    <w:p>
      <w:pPr>
        <w:pStyle w:val="Heading2"/>
      </w:pPr>
      <w:r>
        <w:rPr>
          <w:rFonts w:ascii="Noto Sans CJK SC" w:hAnsi="Noto Sans CJK SC" w:eastAsia="Noto Sans CJK SC"/>
          <w:sz w:val="26"/>
        </w:rPr>
        <w:t>第十八条 永久黑名单</w:t>
      </w:r>
    </w:p>
    <w:p>
      <w:pPr>
        <w:spacing w:line="360" w:lineRule="auto" w:after="80"/>
        <w:ind w:firstLine="420"/>
        <w:jc w:val="both"/>
      </w:pPr>
      <w:r>
        <w:rPr>
          <w:rFonts w:ascii="Noto Serif CJK SC" w:hAnsi="Noto Serif CJK SC" w:eastAsia="Noto Serif CJK SC"/>
          <w:sz w:val="21"/>
        </w:rPr>
        <w:t>永久黑名单自设定的生效时间起持续有效，不设置自动结束时间。需要解除的，应当按照提前解除程序办理。</w:t>
      </w:r>
    </w:p>
    <w:p>
      <w:pPr>
        <w:pStyle w:val="Heading2"/>
      </w:pPr>
      <w:r>
        <w:rPr>
          <w:rFonts w:ascii="Noto Sans CJK SC" w:hAnsi="Noto Sans CJK SC" w:eastAsia="Noto Sans CJK SC"/>
          <w:sz w:val="26"/>
        </w:rPr>
        <w:t>第十九条 限时黑名单</w:t>
      </w:r>
    </w:p>
    <w:p>
      <w:pPr>
        <w:spacing w:line="360" w:lineRule="auto" w:after="80"/>
        <w:ind w:firstLine="420"/>
        <w:jc w:val="both"/>
      </w:pPr>
      <w:r>
        <w:rPr>
          <w:rFonts w:ascii="Noto Serif CJK SC" w:hAnsi="Noto Serif CJK SC" w:eastAsia="Noto Serif CJK SC"/>
          <w:sz w:val="21"/>
        </w:rPr>
        <w:t>限时黑名单应当同时填写生效时间和结束时间，结束时间必须晚于生效时间。达到结束时间后，系统不再将其视为有效黑名单。</w:t>
      </w:r>
    </w:p>
    <w:p>
      <w:pPr>
        <w:pStyle w:val="Heading2"/>
      </w:pPr>
      <w:r>
        <w:rPr>
          <w:rFonts w:ascii="Noto Sans CJK SC" w:hAnsi="Noto Sans CJK SC" w:eastAsia="Noto Sans CJK SC"/>
          <w:sz w:val="26"/>
        </w:rPr>
        <w:t>第二十条 重复登记</w:t>
      </w:r>
    </w:p>
    <w:p>
      <w:pPr>
        <w:spacing w:line="360" w:lineRule="auto" w:after="80"/>
        <w:ind w:firstLine="420"/>
        <w:jc w:val="both"/>
      </w:pPr>
      <w:r>
        <w:rPr>
          <w:rFonts w:ascii="Noto Serif CJK SC" w:hAnsi="Noto Serif CJK SC" w:eastAsia="Noto Serif CJK SC"/>
          <w:sz w:val="21"/>
        </w:rPr>
        <w:t>同一供应商已有有效黑名单时，不得重复登记。需要补充新事实的，应当在原记录基础上按现行业务管理方式处理，不得建立多条相互冲突的有效记录。</w:t>
      </w:r>
    </w:p>
    <w:p>
      <w:pPr>
        <w:pStyle w:val="Heading1"/>
        <w:pBdr>
          <w:bottom w:val="single" w:sz="8" w:space="4" w:color="1F4E78"/>
        </w:pBdr>
      </w:pPr>
      <w:r>
        <w:rPr>
          <w:rFonts w:ascii="Noto Sans CJK SC" w:hAnsi="Noto Sans CJK SC" w:eastAsia="Noto Sans CJK SC"/>
          <w:sz w:val="32"/>
        </w:rPr>
        <w:t>第六章 黑名单解除</w:t>
      </w:r>
    </w:p>
    <w:p>
      <w:pPr>
        <w:pStyle w:val="Heading2"/>
      </w:pPr>
      <w:r>
        <w:rPr>
          <w:rFonts w:ascii="Noto Sans CJK SC" w:hAnsi="Noto Sans CJK SC" w:eastAsia="Noto Sans CJK SC"/>
          <w:sz w:val="26"/>
        </w:rPr>
        <w:t>第二十一条 提前解除权限</w:t>
      </w:r>
    </w:p>
    <w:p>
      <w:pPr>
        <w:spacing w:line="360" w:lineRule="auto" w:after="80"/>
        <w:ind w:firstLine="420"/>
        <w:jc w:val="both"/>
      </w:pPr>
      <w:r>
        <w:rPr>
          <w:rFonts w:ascii="Noto Serif CJK SC" w:hAnsi="Noto Serif CJK SC" w:eastAsia="Noto Serif CJK SC"/>
          <w:sz w:val="21"/>
        </w:rPr>
        <w:t>黑名单可以由原登记楼长或系统管理员提前解除。其他人员无权解除。</w:t>
      </w:r>
    </w:p>
    <w:p>
      <w:pPr>
        <w:pStyle w:val="Heading2"/>
      </w:pPr>
      <w:r>
        <w:rPr>
          <w:rFonts w:ascii="Noto Sans CJK SC" w:hAnsi="Noto Sans CJK SC" w:eastAsia="Noto Sans CJK SC"/>
          <w:sz w:val="26"/>
        </w:rPr>
        <w:t>第二十二条 提前解除条件</w:t>
      </w:r>
    </w:p>
    <w:p>
      <w:pPr>
        <w:spacing w:line="360" w:lineRule="auto" w:after="80"/>
        <w:ind w:firstLine="420"/>
        <w:jc w:val="both"/>
      </w:pPr>
      <w:r>
        <w:rPr>
          <w:rFonts w:ascii="Noto Serif CJK SC" w:hAnsi="Noto Serif CJK SC" w:eastAsia="Noto Serif CJK SC"/>
          <w:sz w:val="21"/>
        </w:rPr>
        <w:t>符合下列情形之一的，可以申请提前解除：</w:t>
      </w:r>
    </w:p>
    <w:p>
      <w:pPr>
        <w:spacing w:line="324" w:lineRule="auto" w:after="60"/>
        <w:ind w:left="420" w:hanging="420"/>
      </w:pPr>
      <w:r>
        <w:rPr>
          <w:rFonts w:ascii="Noto Serif CJK SC" w:hAnsi="Noto Serif CJK SC" w:eastAsia="Noto Serif CJK SC"/>
          <w:sz w:val="21"/>
        </w:rPr>
        <w:t>1.  原登记事实经复核存在错误；</w:t>
      </w:r>
    </w:p>
    <w:p>
      <w:pPr>
        <w:spacing w:line="324" w:lineRule="auto" w:after="60"/>
        <w:ind w:left="420" w:hanging="420"/>
      </w:pPr>
      <w:r>
        <w:rPr>
          <w:rFonts w:ascii="Noto Serif CJK SC" w:hAnsi="Noto Serif CJK SC" w:eastAsia="Noto Serif CJK SC"/>
          <w:sz w:val="21"/>
        </w:rPr>
        <w:t>2.  供应商已完成整改并经业务人员确认；</w:t>
      </w:r>
    </w:p>
    <w:p>
      <w:pPr>
        <w:spacing w:line="324" w:lineRule="auto" w:after="60"/>
        <w:ind w:left="420" w:hanging="420"/>
      </w:pPr>
      <w:r>
        <w:rPr>
          <w:rFonts w:ascii="Noto Serif CJK SC" w:hAnsi="Noto Serif CJK SC" w:eastAsia="Noto Serif CJK SC"/>
          <w:sz w:val="21"/>
        </w:rPr>
        <w:t>3.  采购争议已经妥善处理；</w:t>
      </w:r>
    </w:p>
    <w:p>
      <w:pPr>
        <w:spacing w:line="324" w:lineRule="auto" w:after="60"/>
        <w:ind w:left="420" w:hanging="420"/>
      </w:pPr>
      <w:r>
        <w:rPr>
          <w:rFonts w:ascii="Noto Serif CJK SC" w:hAnsi="Noto Serif CJK SC" w:eastAsia="Noto Serif CJK SC"/>
          <w:sz w:val="21"/>
        </w:rPr>
        <w:t>4.  其他有充分事实依据需要恢复推荐资格的情形。</w:t>
      </w:r>
    </w:p>
    <w:p>
      <w:pPr>
        <w:pStyle w:val="Heading2"/>
      </w:pPr>
      <w:r>
        <w:rPr>
          <w:rFonts w:ascii="Noto Sans CJK SC" w:hAnsi="Noto Sans CJK SC" w:eastAsia="Noto Sans CJK SC"/>
          <w:sz w:val="26"/>
        </w:rPr>
        <w:t>第二十三条 解除说明</w:t>
      </w:r>
    </w:p>
    <w:p>
      <w:pPr>
        <w:spacing w:line="360" w:lineRule="auto" w:after="80"/>
        <w:ind w:firstLine="420"/>
        <w:jc w:val="both"/>
      </w:pPr>
      <w:r>
        <w:rPr>
          <w:rFonts w:ascii="Noto Serif CJK SC" w:hAnsi="Noto Serif CJK SC" w:eastAsia="Noto Serif CJK SC"/>
          <w:sz w:val="21"/>
        </w:rPr>
        <w:t>提前解除时必须填写原因。解除后，原黑名单记录和解除时间仍应保留，不得删除历史记录。</w:t>
      </w:r>
    </w:p>
    <w:p>
      <w:pPr>
        <w:pStyle w:val="Heading2"/>
      </w:pPr>
      <w:r>
        <w:rPr>
          <w:rFonts w:ascii="Noto Sans CJK SC" w:hAnsi="Noto Sans CJK SC" w:eastAsia="Noto Sans CJK SC"/>
          <w:sz w:val="26"/>
        </w:rPr>
        <w:t>第二十四条 已失效记录</w:t>
      </w:r>
    </w:p>
    <w:p>
      <w:pPr>
        <w:spacing w:line="360" w:lineRule="auto" w:after="80"/>
        <w:ind w:firstLine="420"/>
        <w:jc w:val="both"/>
      </w:pPr>
      <w:r>
        <w:rPr>
          <w:rFonts w:ascii="Noto Serif CJK SC" w:hAnsi="Noto Serif CJK SC" w:eastAsia="Noto Serif CJK SC"/>
          <w:sz w:val="21"/>
        </w:rPr>
        <w:t>限时黑名单已到期，或黑名单已提前解除的，不得再次执行解除操作。需要重新限制的，应当依据新的已完成采购事实重新办理。</w:t>
      </w:r>
    </w:p>
    <w:p>
      <w:pPr>
        <w:pStyle w:val="Heading1"/>
        <w:pBdr>
          <w:bottom w:val="single" w:sz="8" w:space="4" w:color="1F4E78"/>
        </w:pBdr>
      </w:pPr>
      <w:r>
        <w:rPr>
          <w:rFonts w:ascii="Noto Sans CJK SC" w:hAnsi="Noto Sans CJK SC" w:eastAsia="Noto Sans CJK SC"/>
          <w:sz w:val="32"/>
        </w:rPr>
        <w:t>第七章 黑名单在业务中的使用</w:t>
      </w:r>
    </w:p>
    <w:p>
      <w:pPr>
        <w:pStyle w:val="Heading2"/>
      </w:pPr>
      <w:r>
        <w:rPr>
          <w:rFonts w:ascii="Noto Sans CJK SC" w:hAnsi="Noto Sans CJK SC" w:eastAsia="Noto Sans CJK SC"/>
          <w:sz w:val="26"/>
        </w:rPr>
        <w:t>第二十五条 查询展示</w:t>
      </w:r>
    </w:p>
    <w:p>
      <w:pPr>
        <w:spacing w:line="360" w:lineRule="auto" w:after="80"/>
        <w:ind w:firstLine="420"/>
        <w:jc w:val="both"/>
      </w:pPr>
      <w:r>
        <w:rPr>
          <w:rFonts w:ascii="Noto Serif CJK SC" w:hAnsi="Noto Serif CJK SC" w:eastAsia="Noto Serif CJK SC"/>
          <w:sz w:val="21"/>
        </w:rPr>
        <w:t>供应商查询结果应当显示当前黑名单状态，并可以展示历史黑名单记录数量。用户需要了解具体原因时，应当结合本人权限查看相关采购和登记记录。</w:t>
      </w:r>
    </w:p>
    <w:p>
      <w:pPr>
        <w:pStyle w:val="Heading2"/>
      </w:pPr>
      <w:r>
        <w:rPr>
          <w:rFonts w:ascii="Noto Sans CJK SC" w:hAnsi="Noto Sans CJK SC" w:eastAsia="Noto Sans CJK SC"/>
          <w:sz w:val="26"/>
        </w:rPr>
        <w:t>第二十六条 推荐排除</w:t>
      </w:r>
    </w:p>
    <w:p>
      <w:pPr>
        <w:spacing w:line="360" w:lineRule="auto" w:after="80"/>
        <w:ind w:firstLine="420"/>
        <w:jc w:val="both"/>
      </w:pPr>
      <w:r>
        <w:rPr>
          <w:rFonts w:ascii="Noto Serif CJK SC" w:hAnsi="Noto Serif CJK SC" w:eastAsia="Noto Serif CJK SC"/>
          <w:sz w:val="21"/>
        </w:rPr>
        <w:t>处于有效黑名单状态的供应商不得进入正常供应商推荐结果。</w:t>
      </w:r>
    </w:p>
    <w:p>
      <w:pPr>
        <w:pStyle w:val="Heading2"/>
      </w:pPr>
      <w:r>
        <w:rPr>
          <w:rFonts w:ascii="Noto Sans CJK SC" w:hAnsi="Noto Sans CJK SC" w:eastAsia="Noto Sans CJK SC"/>
          <w:sz w:val="26"/>
        </w:rPr>
        <w:t>第二十七条 人工核实</w:t>
      </w:r>
    </w:p>
    <w:p>
      <w:pPr>
        <w:spacing w:line="360" w:lineRule="auto" w:after="80"/>
        <w:ind w:firstLine="420"/>
        <w:jc w:val="both"/>
      </w:pPr>
      <w:r>
        <w:rPr>
          <w:rFonts w:ascii="Noto Serif CJK SC" w:hAnsi="Noto Serif CJK SC" w:eastAsia="Noto Serif CJK SC"/>
          <w:sz w:val="21"/>
        </w:rPr>
        <w:t>黑名单状态是重要风险信息，但不得替代对具体采购事项的调查。楼长和采购员应当结合生效时间、登记原因、整改情况和当前采购需求进行人工判断。</w:t>
      </w:r>
    </w:p>
    <w:p>
      <w:pPr>
        <w:pStyle w:val="Heading1"/>
        <w:pBdr>
          <w:bottom w:val="single" w:sz="8" w:space="4" w:color="1F4E78"/>
        </w:pBdr>
      </w:pPr>
      <w:r>
        <w:rPr>
          <w:rFonts w:ascii="Noto Sans CJK SC" w:hAnsi="Noto Sans CJK SC" w:eastAsia="Noto Sans CJK SC"/>
          <w:sz w:val="32"/>
        </w:rPr>
        <w:t>第八章 异常处理</w:t>
      </w:r>
    </w:p>
    <w:p>
      <w:pPr>
        <w:pStyle w:val="Heading2"/>
      </w:pPr>
      <w:r>
        <w:rPr>
          <w:rFonts w:ascii="Noto Sans CJK SC" w:hAnsi="Noto Sans CJK SC" w:eastAsia="Noto Sans CJK SC"/>
          <w:sz w:val="26"/>
        </w:rPr>
        <w:t>第二十八条 供应商不存在或停用</w:t>
      </w:r>
    </w:p>
    <w:p>
      <w:pPr>
        <w:spacing w:line="360" w:lineRule="auto" w:after="80"/>
        <w:ind w:firstLine="420"/>
        <w:jc w:val="both"/>
      </w:pPr>
      <w:r>
        <w:rPr>
          <w:rFonts w:ascii="Noto Serif CJK SC" w:hAnsi="Noto Serif CJK SC" w:eastAsia="Noto Serif CJK SC"/>
          <w:sz w:val="21"/>
        </w:rPr>
        <w:t>系统提示供应商不存在或停用时，不得继续选择该供应商。应当核对供应商名称，必要时由采购员或系统管理员维护主档。</w:t>
      </w:r>
    </w:p>
    <w:p>
      <w:pPr>
        <w:pStyle w:val="Heading2"/>
      </w:pPr>
      <w:r>
        <w:rPr>
          <w:rFonts w:ascii="Noto Sans CJK SC" w:hAnsi="Noto Sans CJK SC" w:eastAsia="Noto Sans CJK SC"/>
          <w:sz w:val="26"/>
        </w:rPr>
        <w:t>第二十九条 黑名单关联错误</w:t>
      </w:r>
    </w:p>
    <w:p>
      <w:pPr>
        <w:spacing w:line="360" w:lineRule="auto" w:after="80"/>
        <w:ind w:firstLine="420"/>
        <w:jc w:val="both"/>
      </w:pPr>
      <w:r>
        <w:rPr>
          <w:rFonts w:ascii="Noto Serif CJK SC" w:hAnsi="Noto Serif CJK SC" w:eastAsia="Noto Serif CJK SC"/>
          <w:sz w:val="21"/>
        </w:rPr>
        <w:t>登记时如系统提示所选供应商并非该次采购的实际供应商，应当返回采购记录核实，不得更换关联采购以规避校验。</w:t>
      </w:r>
    </w:p>
    <w:p>
      <w:pPr>
        <w:pStyle w:val="Heading2"/>
      </w:pPr>
      <w:r>
        <w:rPr>
          <w:rFonts w:ascii="Noto Sans CJK SC" w:hAnsi="Noto Sans CJK SC" w:eastAsia="Noto Sans CJK SC"/>
          <w:sz w:val="26"/>
        </w:rPr>
        <w:t>第三十条 重复操作</w:t>
      </w:r>
    </w:p>
    <w:p>
      <w:pPr>
        <w:spacing w:line="360" w:lineRule="auto" w:after="80"/>
        <w:ind w:firstLine="420"/>
        <w:jc w:val="both"/>
      </w:pPr>
      <w:r>
        <w:rPr>
          <w:rFonts w:ascii="Noto Serif CJK SC" w:hAnsi="Noto Serif CJK SC" w:eastAsia="Noto Serif CJK SC"/>
          <w:sz w:val="21"/>
        </w:rPr>
        <w:t>登记或解除操作重复提交时，系统将进行拦截。经办人应当先查询当前黑名单状态，确认前一次操作结果。</w:t>
      </w:r>
    </w:p>
    <w:p>
      <w:pPr>
        <w:pStyle w:val="Heading1"/>
        <w:pBdr>
          <w:bottom w:val="single" w:sz="8" w:space="4" w:color="1F4E78"/>
        </w:pBdr>
      </w:pPr>
      <w:r>
        <w:rPr>
          <w:rFonts w:ascii="Noto Sans CJK SC" w:hAnsi="Noto Sans CJK SC" w:eastAsia="Noto Sans CJK SC"/>
          <w:sz w:val="32"/>
        </w:rPr>
        <w:t>第九章 附则</w:t>
      </w:r>
    </w:p>
    <w:p>
      <w:pPr>
        <w:pStyle w:val="Heading2"/>
      </w:pPr>
      <w:r>
        <w:rPr>
          <w:rFonts w:ascii="Noto Sans CJK SC" w:hAnsi="Noto Sans CJK SC" w:eastAsia="Noto Sans CJK SC"/>
          <w:sz w:val="26"/>
        </w:rPr>
        <w:t>第三十一条 文件解释</w:t>
      </w:r>
    </w:p>
    <w:p>
      <w:pPr>
        <w:spacing w:line="360" w:lineRule="auto" w:after="80"/>
        <w:ind w:firstLine="420"/>
        <w:jc w:val="both"/>
      </w:pPr>
      <w:r>
        <w:rPr>
          <w:rFonts w:ascii="Noto Serif CJK SC" w:hAnsi="Noto Serif CJK SC" w:eastAsia="Noto Serif CJK SC"/>
          <w:sz w:val="21"/>
        </w:rPr>
        <w:t>本规则由采购业务管理组负责解释，自发布之日起试行。</w:t>
      </w:r>
    </w:p>
    <w:p>
      <w:pPr>
        <w:pStyle w:val="Heading1"/>
        <w:pBdr>
          <w:bottom w:val="single" w:sz="8" w:space="4" w:color="1F4E78"/>
        </w:pBdr>
      </w:pPr>
      <w:r>
        <w:rPr>
          <w:rFonts w:ascii="Noto Sans CJK SC" w:hAnsi="Noto Sans CJK SC" w:eastAsia="Noto Sans CJK SC"/>
          <w:sz w:val="32"/>
        </w:rPr>
        <w:t>关键词索引</w:t>
      </w:r>
    </w:p>
    <w:p>
      <w:pPr>
        <w:spacing w:line="360" w:lineRule="auto" w:after="80"/>
        <w:ind w:firstLine="420"/>
        <w:jc w:val="both"/>
      </w:pPr>
      <w:r>
        <w:rPr>
          <w:rFonts w:ascii="Noto Serif CJK SC" w:hAnsi="Noto Serif CJK SC" w:eastAsia="Noto Serif CJK SC"/>
          <w:sz w:val="21"/>
        </w:rPr>
        <w:t>供应商主档、采购快照、供应商新增、敏感信息、历史品牌型号、相似采购、供应商推荐、永久黑名单、限时黑名单、提前解除、有效黑名单。</w:t>
      </w:r>
    </w:p>
    <w:p>
      <w:pPr>
        <w:pStyle w:val="Heading1"/>
        <w:pBdr>
          <w:bottom w:val="single" w:sz="8" w:space="4" w:color="1F4E78"/>
        </w:pBdr>
      </w:pPr>
      <w:r>
        <w:rPr>
          <w:rFonts w:ascii="Noto Sans CJK SC" w:hAnsi="Noto Sans CJK SC" w:eastAsia="Noto Sans CJK SC"/>
          <w:sz w:val="32"/>
        </w:rPr>
        <w:t>版本修订记录</w:t>
      </w:r>
    </w:p>
    <w:tbl>
      <w:tblPr>
        <w:tblW w:type="auto" w:w="0"/>
        <w:jc w:val="center"/>
        <w:tblLook w:firstColumn="1" w:firstRow="1" w:lastColumn="0" w:lastRow="0" w:noHBand="0" w:noVBand="1" w:val="04A0"/>
      </w:tblPr>
      <w:tblGrid>
        <w:gridCol w:w="3024"/>
        <w:gridCol w:w="3024"/>
        <w:gridCol w:w="3024"/>
      </w:tblGrid>
      <w:tr>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版本</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日期</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修订内容</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1.0</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2026年8月6日</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首次发布</w:t>
            </w:r>
          </w:p>
        </w:tc>
      </w:tr>
    </w:tbl>
    <w:p/>
    <w:sectPr w:rsidR="00FC693F" w:rsidRPr="0006063C" w:rsidSect="00034616">
      <w:headerReference w:type="default" r:id="rId9"/>
      <w:footerReference w:type="default" r:id="rId10"/>
      <w:pgSz w:w="11906" w:h="16838"/>
      <w:pgMar w:top="1247" w:right="1361" w:bottom="1134" w:left="1474"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t xml:space="preserve">第 </w:t>
    </w:r>
    <w:r>
      <w:fldChar w:fldCharType="begin"/>
      <w:instrText xml:space="preserve"> PAGE </w:instrText>
      <w:fldChar w:fldCharType="end"/>
    </w:r>
    <w:r>
      <w:rPr>
        <w:rFonts w:ascii="Noto Sans CJK SC" w:hAnsi="Noto Sans CJK SC" w:eastAsia="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Borders>
            <w:bottom w:val="single" w:sz="6" w:color="B7C9D6"/>
          </w:tcBorders>
        </w:tcPr>
        <w:p>
          <w:r>
            <w:rPr>
              <w:rFonts w:ascii="Noto Sans CJK SC" w:hAnsi="Noto Sans CJK SC" w:eastAsia="Noto Sans CJK SC"/>
              <w:color w:val="666666"/>
              <w:sz w:val="17"/>
            </w:rPr>
            <w:t>数据中心设备采购智能协同系统</w:t>
          </w:r>
        </w:p>
      </w:tc>
      <w:tc>
        <w:tcPr>
          <w:tcW w:type="dxa" w:w="4535"/>
          <w:tcBorders>
            <w:bottom w:val="single" w:sz="6" w:color="B7C9D6"/>
          </w:tcBorders>
        </w:tcPr>
        <w:p>
          <w:pPr>
            <w:jc w:val="right"/>
          </w:pPr>
          <w:r>
            <w:rPr>
              <w:rFonts w:ascii="Noto Sans CJK SC" w:hAnsi="Noto Sans CJK SC" w:eastAsia="Noto Sans CJK SC"/>
              <w:color w:val="666666"/>
              <w:sz w:val="17"/>
            </w:rPr>
            <w:t>CGXT-ZY-04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4374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供应商管理、采购推荐与黑名单业务规则（试行）</dc:title>
  <dc:subject>数据中心设备采购智能协同系统知识库发布版</dc:subject>
  <dc:creator>采购业务管理组</dc:creator>
  <cp:keywords/>
  <dc:description>generated by python-docx</dc:description>
  <cp:lastModifiedBy/>
  <cp:revision>1</cp:revision>
  <dcterms:created xsi:type="dcterms:W3CDTF">2013-12-23T23:15:00Z</dcterms:created>
  <dcterms:modified xsi:type="dcterms:W3CDTF">2013-12-23T23:15:00Z</dcterms:modified>
  <cp:category/>
</cp:coreProperties>
</file>