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Noto Serif SC"/>
        </w:rPr>
        <w:t>酒液分层与调色系统交接说明</w:t>
      </w:r>
    </w:p>
    <w:p>
      <w:r>
        <w:rPr>
          <w:rFonts w:eastAsia="Noto Serif SC"/>
        </w:rPr>
        <w:t>《致未归的客人》工作台 · v0.10.0 · 2026 年 10 月 3 日</w:t>
      </w:r>
    </w:p>
    <w:p>
      <w:r>
        <w:rPr>
          <w:rFonts w:eastAsia="Noto Serif SC"/>
        </w:rPr>
        <w:t>面向策划、美术与程序。本次在现有 Godot 工作台中实现统一液体外观、顺序分层、渐进混合和分层倒出，并接入现有库存、容量、存档和出品评价。本文中的颜色、混合速度与阈值均为试玩参数，尚未作为美术或平衡定稿。</w:t>
      </w:r>
    </w:p>
    <w:p>
      <w:pPr>
        <w:pStyle w:val="Heading1"/>
      </w:pPr>
      <w:r>
        <w:rPr>
          <w:rFonts w:eastAsia="Noto Serif SC"/>
        </w:rPr>
        <w:t>本次实现的玩家体验</w:t>
      </w:r>
    </w:p>
    <w:p>
      <w:pPr>
        <w:pStyle w:val="ListBullet"/>
      </w:pPr>
      <w:r>
        <w:rPr>
          <w:rFonts w:eastAsia="Noto Serif SC"/>
        </w:rPr>
        <w:t>连续加入不同原料时，先加入的在下、后加入的在上。相邻且配比一致的液体会合并为一层；相同颜色不一定代表相同原料。</w:t>
      </w:r>
    </w:p>
    <w:p>
      <w:pPr>
        <w:pStyle w:val="ListBullet"/>
      </w:pPr>
      <w:r>
        <w:rPr>
          <w:rFonts w:eastAsia="Noto Serif SC"/>
        </w:rPr>
        <w:t>搅拌或摇和会逐渐交换各层中的原料，让颜色逐渐接近。实际操作的时长和力度影响融合速度，停手后不继续混合；原有液面波纹可以继续播放。</w:t>
      </w:r>
    </w:p>
    <w:p>
      <w:pPr>
        <w:pStyle w:val="ListBullet"/>
      </w:pPr>
      <w:r>
        <w:rPr>
          <w:rFonts w:eastAsia="Noto Serif SC"/>
        </w:rPr>
        <w:t>完全混匀后收为一层，再加新原料只在上方形成新层，原来的混合液不会拆回各原料。</w:t>
      </w:r>
    </w:p>
    <w:p>
      <w:pPr>
        <w:pStyle w:val="ListBullet"/>
      </w:pPr>
      <w:r>
        <w:rPr>
          <w:rFonts w:eastAsia="Noto Serif SC"/>
        </w:rPr>
        <w:t>倒出时先倒上层。目标杯装满后停止，剩余液层与原料留在源容器中。混匀的一层按其内部配比倒出。</w:t>
      </w:r>
    </w:p>
    <w:p>
      <w:pPr>
        <w:pStyle w:val="ListBullet"/>
      </w:pPr>
      <w:r>
        <w:rPr>
          <w:rFonts w:eastAsia="Noto Serif SC"/>
        </w:rPr>
        <w:t>滤冰只保留原有规则下的冰与固体，不会把分层液体自动混匀。左下角弃液槽清空指定容器，同时记录浪费，不退回库存。</w:t>
      </w:r>
    </w:p>
    <w:p>
      <w:pPr>
        <w:pStyle w:val="ListBullet"/>
      </w:pPr>
      <w:r>
        <w:rPr>
          <w:rFonts w:eastAsia="Noto Serif SC"/>
        </w:rPr>
        <w:t>高球杯与搅拌杯内的液体按杯壁形状裁切。流出的酒液按当前正在倒出的液层显示颜色；量酒器口部显示上层颜色。</w:t>
      </w:r>
    </w:p>
    <w:p>
      <w:pPr>
        <w:pStyle w:val="ListBullet"/>
      </w:pPr>
      <w:r>
        <w:rPr>
          <w:rFonts w:eastAsia="Noto Serif SC"/>
        </w:rPr>
        <w:t>制作提示显示“分层明显”“正在融合”或“已混匀”。混匀程度与品质评分分开，仍需满足酒谱的技法、时长、配料等要求。</w:t>
      </w:r>
    </w:p>
    <w:p>
      <w:pPr>
        <w:pStyle w:val="ListBullet"/>
      </w:pPr>
      <w:r>
        <w:rPr>
          <w:rFonts w:eastAsia="Noto Serif SC"/>
        </w:rPr>
        <w:t>成品弹窗读取这杯酒保存的实际液层和外观配置，继续使用现有品质高光边。</w:t>
      </w:r>
    </w:p>
    <w:p>
      <w:r>
        <w:rPr>
          <w:rFonts w:eastAsia="Noto Serif SC"/>
        </w:rPr>
        <w:t>摇壶与量酒器内部同样记录液层，但金属外壁不做透明透视。玻璃杯、搅拌杯和成品预览承担主要的分层展示。</w:t>
      </w:r>
    </w:p>
    <w:p>
      <w:pPr>
        <w:pStyle w:val="Heading1"/>
      </w:pPr>
      <w:r>
        <w:rPr>
          <w:rFonts w:eastAsia="Noto Serif SC"/>
        </w:rPr>
        <w:t>实际画面</w:t>
      </w:r>
    </w:p>
    <w:p>
      <w:r>
        <w:rPr>
          <w:rFonts w:eastAsia="Noto Serif SC"/>
        </w:rPr>
        <w:t>以下为原生 Godot 测试画面。用于对比的配比是甜红味美思、青柠汁、金酒各 60 ml，不是新增的标准酒谱；左侧搅拌杯保持未混合，右侧高球杯接受搅拌。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66360" cy="2906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-liquid-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06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Noto Serif SC"/>
        </w:rPr>
        <w:t>图 1　两只玻璃容器都保留加入顺序形成的液层。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66360" cy="29060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-liquid-fully-mix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06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Noto Serif SC"/>
        </w:rPr>
        <w:t>图 2　右侧高球杯混为一色，左侧搅拌杯仍保留原来的分层。阶段截图与成品弹窗截图保存在同目录。</w:t>
      </w:r>
    </w:p>
    <w:p>
      <w:pPr>
        <w:pStyle w:val="Heading1"/>
      </w:pPr>
      <w:r>
        <w:rPr>
          <w:rFonts w:eastAsia="Noto Serif SC"/>
        </w:rPr>
        <w:t>调色规则与配置</w:t>
      </w:r>
    </w:p>
    <w:p>
      <w:pPr>
        <w:pStyle w:val="Heading2"/>
      </w:pPr>
      <w:r>
        <w:rPr>
          <w:rFonts w:eastAsia="Noto Serif SC"/>
        </w:rPr>
        <w:t>原料配置</w:t>
      </w:r>
    </w:p>
    <w:p>
      <w:r>
        <w:rPr>
          <w:rFonts w:eastAsia="Noto Serif SC"/>
        </w:rPr>
        <w:t xml:space="preserve">统一来源为 </w:t>
      </w:r>
      <w:r>
        <w:rPr>
          <w:rFonts w:ascii="Consolas" w:hAnsi="Consolas" w:eastAsia="Noto Serif SC"/>
          <w:sz w:val="19"/>
        </w:rPr>
        <w:t>data/supplies/catalog.json</w:t>
      </w:r>
      <w:r>
        <w:rPr>
          <w:rFonts w:eastAsia="Noto Serif SC"/>
        </w:rPr>
        <w:t xml:space="preserve"> 中液体商品的 </w:t>
      </w:r>
      <w:r>
        <w:rPr>
          <w:rFonts w:ascii="Consolas" w:hAnsi="Consolas" w:eastAsia="Noto Serif SC"/>
          <w:sz w:val="19"/>
        </w:rPr>
        <w:t>liquid_appearance</w:t>
      </w:r>
      <w:r>
        <w:rPr>
          <w:rFonts w:eastAsia="Noto Serif SC"/>
        </w:rPr>
        <w:t xml:space="preserve"> 字段，目前覆盖全部 16 种以 ml 计量的原料。配方和库存仍使用原有商品编号；历史简写如 </w:t>
      </w:r>
      <w:r>
        <w:rPr>
          <w:rFonts w:ascii="Consolas" w:hAnsi="Consolas" w:eastAsia="Noto Serif SC"/>
          <w:sz w:val="19"/>
        </w:rPr>
        <w:t>gin</w:t>
      </w:r>
      <w:r>
        <w:rPr>
          <w:rFonts w:eastAsia="Noto Serif SC"/>
        </w:rPr>
        <w:t>、</w:t>
      </w:r>
      <w:r>
        <w:rPr>
          <w:rFonts w:ascii="Consolas" w:hAnsi="Consolas" w:eastAsia="Noto Serif SC"/>
          <w:sz w:val="19"/>
        </w:rPr>
        <w:t>lime</w:t>
      </w:r>
      <w:r>
        <w:rPr>
          <w:rFonts w:eastAsia="Noto Serif SC"/>
        </w:rPr>
        <w:t xml:space="preserve"> 会映射到对应 SKU（商品唯一编号）。美术只需维护同一份原料外观配置。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2448"/>
        <w:gridCol w:w="5688"/>
      </w:tblGrid>
      <w:tr>
        <w:trPr>
          <w:cantSplit/>
          <w:tblHeader/>
        </w:trPr>
        <w:tc>
          <w:tcPr>
            <w:tcW w:type="dxa" w:w="1944"/>
            <w:vAlign w:val="center"/>
            <w:shd w:fill="3449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448"/>
            <w:vAlign w:val="center"/>
            <w:shd w:fill="3449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5688"/>
            <w:vAlign w:val="center"/>
            <w:shd w:fill="3449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b/>
                <w:color w:val="FFFFFF"/>
                <w:sz w:val="20"/>
              </w:rPr>
              <w:t>目前约定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version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外观配置版本</w:t>
            </w:r>
          </w:p>
        </w:tc>
        <w:tc>
          <w:tcPr>
            <w:tcW w:type="dxa" w:w="56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Noto Serif SC"/>
                <w:sz w:val="20"/>
              </w:rPr>
              <w:t>appearance-playtest-1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rgb</w:t>
            </w:r>
          </w:p>
        </w:tc>
        <w:tc>
          <w:tcPr>
            <w:tcW w:type="dxa" w:w="2448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原料的基础色</w:t>
            </w:r>
          </w:p>
        </w:tc>
        <w:tc>
          <w:tcPr>
            <w:tcW w:type="dxa" w:w="5688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三个 0–255 数值，按 sRGB 填写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strength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对混合颜色的贡献强度</w:t>
            </w:r>
          </w:p>
        </w:tc>
        <w:tc>
          <w:tcPr>
            <w:tcW w:type="dxa" w:w="56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0 表示无色；可以大于 1，苦精试玩值为 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turbidity</w:t>
            </w:r>
          </w:p>
        </w:tc>
        <w:tc>
          <w:tcPr>
            <w:tcW w:type="dxa" w:w="2448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浑浊程度</w:t>
            </w:r>
          </w:p>
        </w:tc>
        <w:tc>
          <w:tcPr>
            <w:tcW w:type="dxa" w:w="5688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0–1；与颜色、酒精度分别配置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eastAsia="Noto Serif SC"/>
        </w:rPr>
        <w:t>例如，青柠汁当前配置为：</w:t>
      </w:r>
    </w:p>
    <w:p>
      <w:pPr>
        <w:keepLines/>
        <w:spacing w:before="80" w:after="180" w:line="252" w:lineRule="auto"/>
      </w:pPr>
      <w:r>
        <w:rPr>
          <w:rFonts w:ascii="Consolas" w:hAnsi="Consolas"/>
          <w:sz w:val="18"/>
        </w:rPr>
        <w:t>"liquid_appearance": {</w:t>
        <w:br/>
        <w:t xml:space="preserve">  "version": "appearance-playtest-1",</w:t>
        <w:br/>
        <w:t xml:space="preserve">  "rgb": [164, 202, 66],</w:t>
        <w:br/>
        <w:t xml:space="preserve">  "strength": 0.65,</w:t>
        <w:br/>
        <w:t xml:space="preserve">  "turbidity": 0.65</w:t>
        <w:br/>
        <w:t>}</w:t>
      </w:r>
    </w:p>
    <w:p>
      <w:r>
        <w:rPr>
          <w:rFonts w:eastAsia="Noto Serif SC"/>
        </w:rPr>
        <w:t>金酒、白朗姆、伏特加、苏打水、汤力水和简单糖浆等当前按无色液体配置；这是本版素材表现约定，不代表所有品牌或类别都没有颜色。新增液体必须补充此字段；未配置的液体会以洋红色作为开发排错标记。</w:t>
      </w:r>
    </w:p>
    <w:p>
      <w:pPr>
        <w:pStyle w:val="Heading2"/>
      </w:pPr>
      <w:r>
        <w:rPr>
          <w:rFonts w:eastAsia="Noto Serif SC"/>
        </w:rPr>
        <w:t>如何合成一层酒液的颜色</w:t>
      </w:r>
    </w:p>
    <w:p>
      <w:pPr>
        <w:ind w:left="360" w:hanging="360"/>
      </w:pPr>
      <w:r>
        <w:rPr>
          <w:rFonts w:eastAsia="Noto Serif SC"/>
        </w:rPr>
        <w:t>1. 将各原料 sRGB 转换为线性 RGB，再做加权平均，避免直接平均屏幕 RGB。</w:t>
      </w:r>
    </w:p>
    <w:p>
      <w:pPr>
        <w:ind w:left="360" w:hanging="360"/>
      </w:pPr>
      <w:r>
        <w:rPr>
          <w:rFonts w:eastAsia="Noto Serif SC"/>
        </w:rPr>
        <w:t>2. 每种原料的颜色权重为“实际毫升数 × strength”。按权重合成色相，并计算整层的平均着色强度。</w:t>
      </w:r>
    </w:p>
    <w:p>
      <w:pPr>
        <w:ind w:left="360" w:hanging="360"/>
      </w:pPr>
      <w:r>
        <w:rPr>
          <w:rFonts w:eastAsia="Noto Serif SC"/>
        </w:rPr>
        <w:t>3. 浑浊度单独按实际体积加权。渲染时，着色强度与浑浊度共同决定不透明程度，并叠加少量浑浊散射效果。</w:t>
      </w:r>
    </w:p>
    <w:p>
      <w:pPr>
        <w:ind w:left="360" w:hanging="360"/>
      </w:pPr>
      <w:r>
        <w:rPr>
          <w:rFonts w:eastAsia="Noto Serif SC"/>
        </w:rPr>
        <w:t>4. 玻璃反光、液面高光、杯内明暗和场景背景参与最终观感，不写回原料颜色。</w:t>
      </w:r>
    </w:p>
    <w:p>
      <w:r>
        <w:rPr>
          <w:rFonts w:eastAsia="Noto Serif SC"/>
        </w:rPr>
        <w:t>例如 30 ml 青柠汁加入 90 ml 无色苏打水后，平均着色强度降为原来的四分之一，浑浊度也被稀释。无色材料不会作为白色颜料把酒调成白色；清澈液体保留轻微可见度，便于在游戏中判断液位。</w:t>
      </w:r>
    </w:p>
    <w:p>
      <w:r>
        <w:rPr>
          <w:rFonts w:eastAsia="Noto Serif SC"/>
        </w:rPr>
        <w:t>这是一套可调的美术近似算法，不是光谱、化学反应或真实液体物理模拟。RGB 加权也不等于所有现实酒液的真实混色结果；需由美术在白天、黄昏、夜晚背景下继续校色。</w:t>
      </w:r>
    </w:p>
    <w:p>
      <w:pPr>
        <w:pStyle w:val="Heading2"/>
      </w:pPr>
      <w:r>
        <w:rPr>
          <w:rFonts w:eastAsia="Noto Serif SC"/>
        </w:rPr>
        <w:t>混合参数</w:t>
      </w:r>
    </w:p>
    <w:p>
      <w:r>
        <w:rPr>
          <w:rFonts w:ascii="Consolas" w:hAnsi="Consolas" w:eastAsia="Noto Serif SC"/>
          <w:sz w:val="19"/>
        </w:rPr>
        <w:t>data/workbench/liquid.json</w:t>
      </w:r>
      <w:r>
        <w:rPr>
          <w:rFonts w:eastAsia="Noto Serif SC"/>
        </w:rPr>
        <w:t xml:space="preserve"> 集中保存模型版本和混合参数，新制作会话取得一份快照。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800"/>
        <w:gridCol w:w="5400"/>
      </w:tblGrid>
      <w:tr>
        <w:trPr>
          <w:cantSplit/>
          <w:tblHeader/>
        </w:trPr>
        <w:tc>
          <w:tcPr>
            <w:tcW w:type="dxa" w:w="2880"/>
            <w:vAlign w:val="center"/>
            <w:shd w:fill="3449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800"/>
            <w:vAlign w:val="center"/>
            <w:shd w:fill="3449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b/>
                <w:color w:val="FFFFFF"/>
                <w:sz w:val="20"/>
              </w:rPr>
              <w:t>本版值</w:t>
            </w:r>
          </w:p>
        </w:tc>
        <w:tc>
          <w:tcPr>
            <w:tcW w:type="dxa" w:w="5400"/>
            <w:vAlign w:val="center"/>
            <w:shd w:fill="3449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b/>
                <w:color w:val="FFFFFF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version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Noto Serif SC"/>
                <w:sz w:val="20"/>
              </w:rPr>
              <w:t>layers-v1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液层数据与混合规则版本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stir_rate</w:t>
            </w:r>
          </w:p>
        </w:tc>
        <w:tc>
          <w:tcPr>
            <w:tcW w:type="dxa" w:w="1800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0.8</w:t>
            </w:r>
          </w:p>
        </w:tc>
        <w:tc>
          <w:tcPr>
            <w:tcW w:type="dxa" w:w="5400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有效搅拌的融合速度系数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shake_rate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1.4</w:t>
            </w:r>
          </w:p>
        </w:tc>
        <w:tc>
          <w:tcPr>
            <w:tcW w:type="dxa" w:w="54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有效摇和的融合速度系数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uniform_tolerance</w:t>
            </w:r>
          </w:p>
        </w:tc>
        <w:tc>
          <w:tcPr>
            <w:tcW w:type="dxa" w:w="1800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0.015</w:t>
            </w:r>
          </w:p>
        </w:tc>
        <w:tc>
          <w:tcPr>
            <w:tcW w:type="dxa" w:w="5400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各层配比接近整杯配比时合并为一层的阈值</w:t>
            </w:r>
          </w:p>
        </w:tc>
      </w:tr>
    </w:tbl>
    <w:p>
      <w:pPr>
        <w:spacing w:after="0"/>
      </w:pPr>
    </w:p>
    <w:p>
      <w:r>
        <w:rPr>
          <w:rFonts w:eastAsia="Noto Serif SC"/>
        </w:rPr>
        <w:t xml:space="preserve">每次有效动作的融合比例为 </w:t>
      </w:r>
      <w:r>
        <w:rPr>
          <w:rFonts w:ascii="Consolas" w:hAnsi="Consolas" w:eastAsia="Noto Serif SC"/>
          <w:sz w:val="19"/>
        </w:rPr>
        <w:t>1 - exp(-速度系数 × 秒数 × 力度)</w:t>
      </w:r>
      <w:r>
        <w:rPr>
          <w:rFonts w:eastAsia="Noto Serif SC"/>
        </w:rPr>
        <w:t>。各层保留自己的体积，并将其部分组成朝整杯平均配比靠近，因此混合不会凭空增加或减少任何原料。所有液层与整杯的配比差距都达到阈值后，合并为一层。力度为 0 时不混合。</w:t>
      </w:r>
    </w:p>
    <w:p>
      <w:r>
        <w:rPr>
          <w:rFonts w:eastAsia="Noto Serif SC"/>
        </w:rPr>
        <w:t xml:space="preserve">这些系数控制“看起来混匀”的速度。品质评价仍使用 </w:t>
      </w:r>
      <w:r>
        <w:rPr>
          <w:rFonts w:ascii="Consolas" w:hAnsi="Consolas" w:eastAsia="Noto Serif SC"/>
          <w:sz w:val="19"/>
        </w:rPr>
        <w:t>data/workbench/evaluation.json</w:t>
      </w:r>
      <w:r>
        <w:rPr>
          <w:rFonts w:eastAsia="Noto Serif SC"/>
        </w:rPr>
        <w:t xml:space="preserve"> 中的独立技法和时间规则，因此不能把“已混匀”当成“完美出品”。改动 JSON 后需重启游戏读取配置，并新开一杯观察新参数；已有杯使用自己的配置快照。</w:t>
      </w:r>
    </w:p>
    <w:p>
      <w:pPr>
        <w:pStyle w:val="Heading1"/>
      </w:pPr>
      <w:r>
        <w:rPr>
          <w:rFonts w:eastAsia="Noto Serif SC"/>
        </w:rPr>
        <w:t>数量守恒与倒出示例</w:t>
      </w:r>
    </w:p>
    <w:p>
      <w:r>
        <w:rPr>
          <w:rFonts w:eastAsia="Noto Serif SC"/>
        </w:rPr>
        <w:t>搅拌杯依次加入 90 ml 金酒、90 ml 青柠汁，不搅拌，向空的 120 ml 成品杯过滤。新规则先倒出上层 90 ml 青柠汁，再倒出 30 ml 金酒；源容器保留 60 ml 金酒。接收杯从下到上是青柠汁、金酒，因为接收杯按流入先后重新叠层。</w:t>
      </w:r>
    </w:p>
    <w:p>
      <w:r>
        <w:rPr>
          <w:rFonts w:eastAsia="Noto Serif SC"/>
        </w:rPr>
        <w:t>如果先充分混匀再倒出 120 ml，出杯会包含各 60 ml，源容器剩各 30 ml。两种操作的实际出品配比不同，评价与属性也应以真正入杯的原料计算。</w:t>
      </w:r>
    </w:p>
    <w:p>
      <w:r>
        <w:rPr>
          <w:rFonts w:eastAsia="Noto Serif SC"/>
        </w:rPr>
        <w:t xml:space="preserve">每个容器的所有液层相加必须等于其 </w:t>
      </w:r>
      <w:r>
        <w:rPr>
          <w:rFonts w:ascii="Consolas" w:hAnsi="Consolas" w:eastAsia="Noto Serif SC"/>
          <w:sz w:val="19"/>
        </w:rPr>
        <w:t>contents</w:t>
      </w:r>
      <w:r>
        <w:rPr>
          <w:rFonts w:eastAsia="Noto Serif SC"/>
        </w:rPr>
        <w:t xml:space="preserve"> 总量。所有容器余量加已弃液量，应与本次取料量保持一致。容器之间转移不扣第二次库存；只有从备料库取出材料时实际扣料。重复命令沿用现有编号去重，落盘失败不会提交半套库存或液层变化。</w:t>
      </w:r>
    </w:p>
    <w:p>
      <w:r>
        <w:rPr>
          <w:rFonts w:eastAsia="Noto Serif SC"/>
        </w:rPr>
        <w:t>当前延续原有容量规则：标准方冰一份 50 g，共 4 块，每块 12.5 g；试玩占位按 50 ml 处理。直接转移可带走整块冰，过滤保留冰。旧存档的 40 g 冰批次按旧数量保留，本次不重写它们。尚未将融水加入液体总量。</w:t>
      </w:r>
    </w:p>
    <w:p>
      <w:pPr>
        <w:pStyle w:val="Heading1"/>
      </w:pPr>
      <w:r>
        <w:rPr>
          <w:rFonts w:eastAsia="Noto Serif SC"/>
        </w:rPr>
        <w:t>数据与程序接入</w:t>
      </w:r>
    </w:p>
    <w:p>
      <w:pPr>
        <w:pStyle w:val="Heading2"/>
      </w:pPr>
      <w:r>
        <w:rPr>
          <w:rFonts w:eastAsia="Noto Serif SC"/>
        </w:rPr>
        <w:t>需要区分的数据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808"/>
        <w:gridCol w:w="5616"/>
      </w:tblGrid>
      <w:tr>
        <w:trPr>
          <w:cantSplit/>
          <w:tblHeader/>
        </w:trPr>
        <w:tc>
          <w:tcPr>
            <w:tcW w:type="dxa" w:w="1656"/>
            <w:vAlign w:val="center"/>
            <w:shd w:fill="3449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2808"/>
            <w:vAlign w:val="center"/>
            <w:shd w:fill="3449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b/>
                <w:color w:val="FFFFFF"/>
                <w:sz w:val="20"/>
              </w:rPr>
              <w:t>放在哪里</w:t>
            </w:r>
          </w:p>
        </w:tc>
        <w:tc>
          <w:tcPr>
            <w:tcW w:type="dxa" w:w="5616"/>
            <w:vAlign w:val="center"/>
            <w:shd w:fill="3449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b/>
                <w:color w:val="FFFFFF"/>
                <w:sz w:val="20"/>
              </w:rPr>
              <w:t>读写职责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原料外观定义</w:t>
            </w:r>
          </w:p>
        </w:tc>
        <w:tc>
          <w:tcPr>
            <w:tcW w:type="dxa" w:w="28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原料商品目录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美术与配置维护；新会话读取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混合规则定义</w:t>
            </w:r>
          </w:p>
        </w:tc>
        <w:tc>
          <w:tcPr>
            <w:tcW w:type="dxa" w:w="2808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Noto Serif SC"/>
                <w:sz w:val="20"/>
              </w:rPr>
              <w:t>data/workbench/liquid.json</w:t>
            </w:r>
          </w:p>
        </w:tc>
        <w:tc>
          <w:tcPr>
            <w:tcW w:type="dxa" w:w="5616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程序与策划调整；新会话读取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配置快照</w:t>
            </w:r>
          </w:p>
        </w:tc>
        <w:tc>
          <w:tcPr>
            <w:tcW w:type="dxa" w:w="28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 xml:space="preserve">会话的 </w:t>
            </w:r>
            <w:r>
              <w:rPr>
                <w:rFonts w:ascii="Consolas" w:hAnsi="Consolas" w:eastAsia="Noto Serif SC"/>
                <w:sz w:val="20"/>
              </w:rPr>
              <w:t>liquid_profiles</w:t>
            </w:r>
            <w:r>
              <w:rPr>
                <w:rFonts w:eastAsia="Noto Serif SC"/>
                <w:sz w:val="20"/>
              </w:rPr>
              <w:t>、</w:t>
            </w:r>
            <w:r>
              <w:rPr>
                <w:rFonts w:ascii="Consolas" w:hAnsi="Consolas" w:eastAsia="Noto Serif SC"/>
                <w:sz w:val="20"/>
              </w:rPr>
              <w:t>liquid_model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开始制作时冻结；退出恢复继续使用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实际液层</w:t>
            </w:r>
          </w:p>
        </w:tc>
        <w:tc>
          <w:tcPr>
            <w:tcW w:type="dxa" w:w="2808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 xml:space="preserve">容器的 </w:t>
            </w:r>
            <w:r>
              <w:rPr>
                <w:rFonts w:ascii="Consolas" w:hAnsi="Consolas" w:eastAsia="Noto Serif SC"/>
                <w:sz w:val="20"/>
              </w:rPr>
              <w:t>layers</w:t>
            </w:r>
          </w:p>
        </w:tc>
        <w:tc>
          <w:tcPr>
            <w:tcW w:type="dxa" w:w="5616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仅制作命令修改；底层在前、顶层在后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原料总量</w:t>
            </w:r>
          </w:p>
        </w:tc>
        <w:tc>
          <w:tcPr>
            <w:tcW w:type="dxa" w:w="28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 xml:space="preserve">容器的 </w:t>
            </w:r>
            <w:r>
              <w:rPr>
                <w:rFonts w:ascii="Consolas" w:hAnsi="Consolas" w:eastAsia="Noto Serif SC"/>
                <w:sz w:val="20"/>
              </w:rPr>
              <w:t>contents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由液层重新汇总，兼容原有库存、容量与评价接口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动作中的实际倒出</w:t>
            </w:r>
          </w:p>
        </w:tc>
        <w:tc>
          <w:tcPr>
            <w:tcW w:type="dxa" w:w="2808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Noto Serif SC"/>
                <w:sz w:val="20"/>
              </w:rPr>
              <w:t>action.pour.contents</w:t>
            </w:r>
            <w:r>
              <w:rPr>
                <w:rFonts w:eastAsia="Noto Serif SC"/>
                <w:sz w:val="20"/>
              </w:rPr>
              <w:t>、</w:t>
            </w:r>
            <w:r>
              <w:rPr>
                <w:rFonts w:ascii="Consolas" w:hAnsi="Consolas" w:eastAsia="Noto Serif SC"/>
                <w:sz w:val="20"/>
              </w:rPr>
              <w:t>action.pour.layers</w:t>
            </w:r>
          </w:p>
        </w:tc>
        <w:tc>
          <w:tcPr>
            <w:tcW w:type="dxa" w:w="5616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记录实际组成及流出顺序；供评价追踪与倒酒动画使用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成品外观</w:t>
            </w:r>
          </w:p>
        </w:tc>
        <w:tc>
          <w:tcPr>
            <w:tcW w:type="dxa" w:w="280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Noto Serif SC"/>
                <w:sz w:val="20"/>
              </w:rPr>
              <w:t>result.contents.layers</w:t>
            </w:r>
            <w:r>
              <w:rPr>
                <w:rFonts w:eastAsia="Noto Serif SC"/>
                <w:sz w:val="20"/>
              </w:rPr>
              <w:t xml:space="preserve"> 和结果配置快照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成品预览只读；不覆盖官方配方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eastAsia="Noto Serif SC"/>
        </w:rPr>
        <w:t>容器中的简化数据示例：</w:t>
      </w:r>
    </w:p>
    <w:p>
      <w:pPr>
        <w:keepLines/>
        <w:spacing w:before="80" w:after="180" w:line="252" w:lineRule="auto"/>
      </w:pPr>
      <w:r>
        <w:rPr>
          <w:rFonts w:ascii="Consolas" w:hAnsi="Consolas"/>
          <w:sz w:val="18"/>
        </w:rPr>
        <w:t>{</w:t>
        <w:br/>
        <w:t xml:space="preserve">  "contents": {"gin": 40, "lime": 20},</w:t>
        <w:br/>
        <w:t xml:space="preserve">  "layers": [</w:t>
        <w:br/>
        <w:t xml:space="preserve">    {"contents": {"gin": 40}},</w:t>
        <w:br/>
        <w:t xml:space="preserve">    {"contents": {"lime": 20}}</w:t>
        <w:br/>
        <w:t xml:space="preserve">  ]</w:t>
        <w:br/>
        <w:t>}</w:t>
      </w:r>
    </w:p>
    <w:p>
      <w:r>
        <w:rPr>
          <w:rFonts w:eastAsia="Noto Serif SC"/>
        </w:rPr>
        <w:t xml:space="preserve">对外维护原料仍以 SKU 为准。上述 </w:t>
      </w:r>
      <w:r>
        <w:rPr>
          <w:rFonts w:ascii="Consolas" w:hAnsi="Consolas" w:eastAsia="Noto Serif SC"/>
          <w:sz w:val="19"/>
        </w:rPr>
        <w:t>gin</w:t>
      </w:r>
      <w:r>
        <w:rPr>
          <w:rFonts w:eastAsia="Noto Serif SC"/>
        </w:rPr>
        <w:t>、</w:t>
      </w:r>
      <w:r>
        <w:rPr>
          <w:rFonts w:ascii="Consolas" w:hAnsi="Consolas" w:eastAsia="Noto Serif SC"/>
          <w:sz w:val="19"/>
        </w:rPr>
        <w:t>lime</w:t>
      </w:r>
      <w:r>
        <w:rPr>
          <w:rFonts w:eastAsia="Noto Serif SC"/>
        </w:rPr>
        <w:t xml:space="preserve"> 是工作台已有的内部兼容名，不应另建第二份原料资料。</w:t>
      </w:r>
    </w:p>
    <w:p>
      <w:pPr>
        <w:pStyle w:val="Heading2"/>
      </w:pPr>
      <w:r>
        <w:rPr>
          <w:rFonts w:eastAsia="Noto Serif SC"/>
        </w:rPr>
        <w:t>文件职责</w:t>
      </w:r>
    </w:p>
    <w:p>
      <w:pPr>
        <w:pStyle w:val="ListBullet"/>
      </w:pPr>
      <w:r>
        <w:rPr>
          <w:rFonts w:ascii="Consolas" w:hAnsi="Consolas" w:eastAsia="Noto Serif SC"/>
          <w:sz w:val="19"/>
        </w:rPr>
        <w:t>scripts/workbench_liquid_state.gd</w:t>
      </w:r>
      <w:r>
        <w:rPr>
          <w:rFonts w:eastAsia="Noto Serif SC"/>
        </w:rPr>
        <w:t>：纯数据操作；处理新增、混合、取出、液层汇总和守恒校验，不接触库存或页面。</w:t>
      </w:r>
    </w:p>
    <w:p>
      <w:pPr>
        <w:pStyle w:val="ListBullet"/>
      </w:pPr>
      <w:r>
        <w:rPr>
          <w:rFonts w:ascii="Consolas" w:hAnsi="Consolas" w:eastAsia="Noto Serif SC"/>
          <w:sz w:val="19"/>
        </w:rPr>
        <w:t>scripts/workbench_liquid_appearance.gd</w:t>
      </w:r>
      <w:r>
        <w:rPr>
          <w:rFonts w:eastAsia="Noto Serif SC"/>
        </w:rPr>
        <w:t>：读取统一原料外观，处理 SKU 别名、线性 RGB 加权、浑浊与不透明度。</w:t>
      </w:r>
    </w:p>
    <w:p>
      <w:pPr>
        <w:pStyle w:val="ListBullet"/>
      </w:pPr>
      <w:r>
        <w:rPr>
          <w:rFonts w:ascii="Consolas" w:hAnsi="Consolas" w:eastAsia="Noto Serif SC"/>
          <w:sz w:val="19"/>
        </w:rPr>
        <w:t>scripts/workbench_session.gd</w:t>
      </w:r>
      <w:r>
        <w:rPr>
          <w:rFonts w:eastAsia="Noto Serif SC"/>
        </w:rPr>
        <w:t>：接收操作、计算容量、扣料和原子存档；把液层变化纳入制作会话，冻结成品数据。</w:t>
      </w:r>
    </w:p>
    <w:p>
      <w:pPr>
        <w:pStyle w:val="ListBullet"/>
      </w:pPr>
      <w:r>
        <w:rPr>
          <w:rFonts w:ascii="Consolas" w:hAnsi="Consolas" w:eastAsia="Noto Serif SC"/>
          <w:sz w:val="19"/>
        </w:rPr>
        <w:t>scripts/workbench_liquid.gd</w:t>
      </w:r>
      <w:r>
        <w:rPr>
          <w:rFonts w:eastAsia="Noto Serif SC"/>
        </w:rPr>
        <w:t>：杯壁裁切、分层填充、液面和流动效果；显示插值不修改真实毫升数。</w:t>
      </w:r>
    </w:p>
    <w:p>
      <w:pPr>
        <w:pStyle w:val="ListBullet"/>
      </w:pPr>
      <w:r>
        <w:rPr>
          <w:rFonts w:ascii="Consolas" w:hAnsi="Consolas" w:eastAsia="Noto Serif SC"/>
          <w:sz w:val="19"/>
        </w:rPr>
        <w:t>scripts/workbench_table.gd</w:t>
      </w:r>
      <w:r>
        <w:rPr>
          <w:rFonts w:eastAsia="Noto Serif SC"/>
        </w:rPr>
        <w:t>、</w:t>
      </w:r>
      <w:r>
        <w:rPr>
          <w:rFonts w:ascii="Consolas" w:hAnsi="Consolas" w:eastAsia="Noto Serif SC"/>
          <w:sz w:val="19"/>
        </w:rPr>
        <w:t>scripts/workbench_drink_preview.gd</w:t>
      </w:r>
      <w:r>
        <w:rPr>
          <w:rFonts w:eastAsia="Noto Serif SC"/>
        </w:rPr>
        <w:t>：工作台与结果弹窗使用同一套液体显示逻辑。</w:t>
      </w:r>
    </w:p>
    <w:p>
      <w:pPr>
        <w:pStyle w:val="ListBullet"/>
      </w:pPr>
      <w:r>
        <w:rPr>
          <w:rFonts w:ascii="Consolas" w:hAnsi="Consolas" w:eastAsia="Noto Serif SC"/>
          <w:sz w:val="19"/>
        </w:rPr>
        <w:t>scripts/workbench_evaluation.gd</w:t>
      </w:r>
      <w:r>
        <w:rPr>
          <w:rFonts w:eastAsia="Noto Serif SC"/>
        </w:rPr>
        <w:t>：按实际转移的液层追踪用料和制作经历；旧动作仍使用旧版按比例转移的解释。</w:t>
      </w:r>
    </w:p>
    <w:p>
      <w:r>
        <w:rPr>
          <w:rFonts w:eastAsia="Noto Serif SC"/>
        </w:rPr>
        <w:t xml:space="preserve">外部页面继续通过 </w:t>
      </w:r>
      <w:r>
        <w:rPr>
          <w:rFonts w:ascii="Consolas" w:hAnsi="Consolas" w:eastAsia="Noto Serif SC"/>
          <w:sz w:val="19"/>
        </w:rPr>
        <w:t>WorkbenchSession.command</w:t>
      </w:r>
      <w:r>
        <w:rPr>
          <w:rFonts w:eastAsia="Noto Serif SC"/>
        </w:rPr>
        <w:t xml:space="preserve"> 发起正式取料、搅拌、转移和结束命令，读取 </w:t>
      </w:r>
      <w:r>
        <w:rPr>
          <w:rFonts w:ascii="Consolas" w:hAnsi="Consolas" w:eastAsia="Noto Serif SC"/>
          <w:sz w:val="19"/>
        </w:rPr>
        <w:t>snapshot()</w:t>
      </w:r>
      <w:r>
        <w:rPr>
          <w:rFonts w:eastAsia="Noto Serif SC"/>
        </w:rPr>
        <w:t xml:space="preserve"> 获得界面数据。不要直接改 </w:t>
      </w:r>
      <w:r>
        <w:rPr>
          <w:rFonts w:ascii="Consolas" w:hAnsi="Consolas" w:eastAsia="Noto Serif SC"/>
          <w:sz w:val="19"/>
        </w:rPr>
        <w:t>contents</w:t>
      </w:r>
      <w:r>
        <w:rPr>
          <w:rFonts w:eastAsia="Noto Serif SC"/>
        </w:rPr>
        <w:t xml:space="preserve"> 或 </w:t>
      </w:r>
      <w:r>
        <w:rPr>
          <w:rFonts w:ascii="Consolas" w:hAnsi="Consolas" w:eastAsia="Noto Serif SC"/>
          <w:sz w:val="19"/>
        </w:rPr>
        <w:t>layers</w:t>
      </w:r>
      <w:r>
        <w:rPr>
          <w:rFonts w:eastAsia="Noto Serif SC"/>
        </w:rPr>
        <w:t>，也不要在界面里再次扣库存。</w:t>
      </w:r>
      <w:r>
        <w:rPr>
          <w:rFonts w:ascii="Consolas" w:hAnsi="Consolas" w:eastAsia="Noto Serif SC"/>
          <w:sz w:val="19"/>
        </w:rPr>
        <w:t>withdraw</w:t>
      </w:r>
      <w:r>
        <w:rPr>
          <w:rFonts w:eastAsia="Noto Serif SC"/>
        </w:rPr>
        <w:t xml:space="preserve"> 新记录带有 </w:t>
      </w:r>
      <w:r>
        <w:rPr>
          <w:rFonts w:ascii="Consolas" w:hAnsi="Consolas" w:eastAsia="Noto Serif SC"/>
          <w:sz w:val="19"/>
        </w:rPr>
        <w:t>liquid_layered</w:t>
      </w:r>
      <w:r>
        <w:rPr>
          <w:rFonts w:eastAsia="Noto Serif SC"/>
        </w:rPr>
        <w:t xml:space="preserve"> 标记；混合动作记录使用的 </w:t>
      </w:r>
      <w:r>
        <w:rPr>
          <w:rFonts w:ascii="Consolas" w:hAnsi="Consolas" w:eastAsia="Noto Serif SC"/>
          <w:sz w:val="19"/>
        </w:rPr>
        <w:t>liquid_model</w:t>
      </w:r>
      <w:r>
        <w:rPr>
          <w:rFonts w:eastAsia="Noto Serif SC"/>
        </w:rPr>
        <w:t>，使评价能够复现对应液层流转。</w:t>
      </w:r>
    </w:p>
    <w:p>
      <w:pPr>
        <w:pStyle w:val="Heading2"/>
      </w:pPr>
      <w:r>
        <w:rPr>
          <w:rFonts w:eastAsia="Noto Serif SC"/>
        </w:rPr>
        <w:t>存档兼容边界</w:t>
      </w:r>
    </w:p>
    <w:p>
      <w:r>
        <w:rPr>
          <w:rFonts w:eastAsia="Noto Serif SC"/>
        </w:rPr>
        <w:t>有液层的新存档恢复液层、配比、配置快照和剩余数量。只有总量的旧容器按“一层已混合的液体”读取，下次正式操作时补齐字段；不会凭空猜测旧杯子的加入顺序。</w:t>
      </w:r>
    </w:p>
    <w:p>
      <w:r>
        <w:rPr>
          <w:rFonts w:eastAsia="Noto Serif SC"/>
        </w:rPr>
        <w:t>旧成品如果没有保存外观配置，只能使用当前配置显示，无法还原过去未保存的颜色。新成品会冻结配置与层数据；将来如果改变调色算法本身，仍需增加版本分派或迁移，不应仅改版本字符串就假设历史显示完全一致。未知液层模型版本会被校验拒绝，应先编写明确迁移规则。</w:t>
      </w:r>
    </w:p>
    <w:p>
      <w:pPr>
        <w:pStyle w:val="Heading1"/>
      </w:pPr>
      <w:r>
        <w:rPr>
          <w:rFonts w:eastAsia="Noto Serif SC"/>
        </w:rPr>
        <w:t>DIY 研发如何复用</w:t>
      </w:r>
    </w:p>
    <w:p>
      <w:r>
        <w:rPr>
          <w:rFonts w:eastAsia="Noto Serif SC"/>
        </w:rPr>
        <w:t>本次交付的是共用底层与现有工作台接入，尚未新增完整 DIY 研发页面、命名保存流程或上架流程。</w:t>
      </w:r>
    </w:p>
    <w:p>
      <w:r>
        <w:rPr>
          <w:rFonts w:eastAsia="Noto Serif SC"/>
        </w:rPr>
        <w:t xml:space="preserve">建议后续研发界面沿用“选择基础配方或新建 → 共用工作台试调 → 查看结果 → 命名保存 → 自行上架”。正式试调继续通过会话命令扣料；仅用于预览的临时杯可在独立字典上调用 </w:t>
      </w:r>
      <w:r>
        <w:rPr>
          <w:rFonts w:ascii="Consolas" w:hAnsi="Consolas" w:eastAsia="Noto Serif SC"/>
          <w:sz w:val="19"/>
        </w:rPr>
        <w:t>LiquidState.add</w:t>
      </w:r>
      <w:r>
        <w:rPr>
          <w:rFonts w:eastAsia="Noto Serif SC"/>
        </w:rPr>
        <w:t>、</w:t>
      </w:r>
      <w:r>
        <w:rPr>
          <w:rFonts w:ascii="Consolas" w:hAnsi="Consolas" w:eastAsia="Noto Serif SC"/>
          <w:sz w:val="19"/>
        </w:rPr>
        <w:t>mix</w:t>
      </w:r>
      <w:r>
        <w:rPr>
          <w:rFonts w:eastAsia="Noto Serif SC"/>
        </w:rPr>
        <w:t>、</w:t>
      </w:r>
      <w:r>
        <w:rPr>
          <w:rFonts w:ascii="Consolas" w:hAnsi="Consolas" w:eastAsia="Noto Serif SC"/>
          <w:sz w:val="19"/>
        </w:rPr>
        <w:t>take</w:t>
      </w:r>
      <w:r>
        <w:rPr>
          <w:rFonts w:eastAsia="Noto Serif SC"/>
        </w:rPr>
        <w:t xml:space="preserve">，配合 </w:t>
      </w:r>
      <w:r>
        <w:rPr>
          <w:rFonts w:ascii="Consolas" w:hAnsi="Consolas" w:eastAsia="Noto Serif SC"/>
          <w:sz w:val="19"/>
        </w:rPr>
        <w:t>LiquidAppearance.sample</w:t>
      </w:r>
      <w:r>
        <w:rPr>
          <w:rFonts w:eastAsia="Noto Serif SC"/>
        </w:rPr>
        <w:t xml:space="preserve"> 和 </w:t>
      </w:r>
      <w:r>
        <w:rPr>
          <w:rFonts w:ascii="Consolas" w:hAnsi="Consolas" w:eastAsia="Noto Serif SC"/>
          <w:sz w:val="19"/>
        </w:rPr>
        <w:t>Liquid.draw</w:t>
      </w:r>
      <w:r>
        <w:rPr>
          <w:rFonts w:eastAsia="Noto Serif SC"/>
        </w:rPr>
        <w:t>，不碰库存。</w:t>
      </w:r>
    </w:p>
    <w:p>
      <w:pPr>
        <w:keepNext/>
      </w:pPr>
      <w:r>
        <w:rPr>
          <w:rFonts w:eastAsia="Noto Serif SC"/>
        </w:rPr>
        <w:t>接入时还需完成以下任务：</w:t>
      </w:r>
    </w:p>
    <w:p>
      <w:pPr>
        <w:ind w:left="360" w:hanging="360"/>
      </w:pPr>
      <w:r>
        <w:rPr>
          <w:rFonts w:eastAsia="Noto Serif SC"/>
        </w:rPr>
        <w:t xml:space="preserve">1. 扩展会话模式校验及研发资源规则，明确试调、教学与营业各自的消耗和结算。目前正式会话模式仍保留已有 </w:t>
      </w:r>
      <w:r>
        <w:rPr>
          <w:rFonts w:ascii="Consolas" w:hAnsi="Consolas" w:eastAsia="Noto Serif SC"/>
          <w:sz w:val="19"/>
        </w:rPr>
        <w:t>practice/workbench</w:t>
      </w:r>
      <w:r>
        <w:rPr>
          <w:rFonts w:eastAsia="Noto Serif SC"/>
        </w:rPr>
        <w:t xml:space="preserve"> 约定。</w:t>
      </w:r>
    </w:p>
    <w:p>
      <w:pPr>
        <w:ind w:left="360" w:hanging="360"/>
      </w:pPr>
      <w:r>
        <w:rPr>
          <w:rFonts w:eastAsia="Noto Serif SC"/>
        </w:rPr>
        <w:t>2. 保存“可复现配方草稿”：原料和剂量、加入顺序、技法、冰、杯型、装饰，并明确目标是均匀酒还是分层酒。目标呈现字段与分层评价尚未加入正式酒谱结构。</w:t>
      </w:r>
    </w:p>
    <w:p>
      <w:pPr>
        <w:ind w:left="360" w:hanging="360"/>
      </w:pPr>
      <w:r>
        <w:rPr>
          <w:rFonts w:eastAsia="Noto Serif SC"/>
        </w:rPr>
        <w:t>3. 区分试调单杯记录与可复现酒谱。实际洒漏、丢弃等仍属于这一杯；不能把全部动作日志直接当成新标准酒谱。</w:t>
      </w:r>
    </w:p>
    <w:p>
      <w:pPr>
        <w:ind w:left="360" w:hanging="360"/>
      </w:pPr>
      <w:r>
        <w:rPr>
          <w:rFonts w:eastAsia="Noto Serif SC"/>
        </w:rPr>
        <w:t>4. 增加双语名称、备注、另存为新配方与修订版本，并保存配方引用及必要的外观版本。图鉴预览复用液体模型；保存后不自动上架。</w:t>
      </w:r>
    </w:p>
    <w:p>
      <w:pPr>
        <w:ind w:left="360" w:hanging="360"/>
      </w:pPr>
      <w:r>
        <w:rPr>
          <w:rFonts w:eastAsia="Noto Serif SC"/>
        </w:rPr>
        <w:t>5. 为灵感费用、次数、配方数量及允许修改范围保留独立配置，具体数值另定。传说配方道具解锁保持独立。</w:t>
      </w:r>
    </w:p>
    <w:p>
      <w:pPr>
        <w:pStyle w:val="Heading1"/>
      </w:pPr>
      <w:r>
        <w:rPr>
          <w:rFonts w:eastAsia="Noto Serif SC"/>
        </w:rPr>
        <w:t>验证结果与复查方法</w:t>
      </w:r>
    </w:p>
    <w:p>
      <w:r>
        <w:rPr>
          <w:rFonts w:eastAsia="Noto Serif SC"/>
        </w:rPr>
        <w:t>本次新增两组测试，并调整旧容量测试：需要验证“混匀后按比例倒出”的样例现在先执行搅拌，而不是默认所有液体天然混匀。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1368"/>
        <w:gridCol w:w="6264"/>
      </w:tblGrid>
      <w:tr>
        <w:trPr>
          <w:cantSplit/>
          <w:tblHeader/>
        </w:trPr>
        <w:tc>
          <w:tcPr>
            <w:tcW w:type="dxa" w:w="2448"/>
            <w:vAlign w:val="center"/>
            <w:shd w:fill="3449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b/>
                <w:color w:val="FFFFFF"/>
                <w:sz w:val="20"/>
              </w:rPr>
              <w:t>检查组</w:t>
            </w:r>
          </w:p>
        </w:tc>
        <w:tc>
          <w:tcPr>
            <w:tcW w:type="dxa" w:w="1368"/>
            <w:vAlign w:val="center"/>
            <w:shd w:fill="3449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eastAsia="Noto Serif SC"/>
                <w:b/>
                <w:color w:val="FFFFFF"/>
                <w:sz w:val="20"/>
              </w:rPr>
              <w:t>通过数</w:t>
            </w:r>
          </w:p>
        </w:tc>
        <w:tc>
          <w:tcPr>
            <w:tcW w:type="dxa" w:w="6264"/>
            <w:vAlign w:val="center"/>
            <w:shd w:fill="34495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b/>
                <w:color w:val="FFFFFF"/>
                <w:sz w:val="20"/>
              </w:rPr>
              <w:t>覆盖重点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液层与调色逻辑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eastAsia="Noto Serif SC"/>
                <w:sz w:val="20"/>
              </w:rPr>
              <w:t>74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16 种液体配置、别名、稀释、渐进混合、顶层倒出、去重、快照、迁移、弃液；含固定随机种子的 300 步守恒检查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原生工作台画面</w:t>
            </w:r>
          </w:p>
        </w:tc>
        <w:tc>
          <w:tcPr>
            <w:tcW w:type="dxa" w:w="1368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eastAsia="Noto Serif SC"/>
                <w:sz w:val="20"/>
              </w:rPr>
              <w:t>36</w:t>
            </w:r>
          </w:p>
        </w:tc>
        <w:tc>
          <w:tcPr>
            <w:tcW w:type="dxa" w:w="6264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双杯分层、阶段混合、提示布局、成品快照与截图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新进程恢复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eastAsia="Noto Serif SC"/>
                <w:sz w:val="20"/>
              </w:rPr>
              <w:t>4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混匀成品与未混合容器同时恢复，库存不变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杯型与容量回归</w:t>
            </w:r>
          </w:p>
        </w:tc>
        <w:tc>
          <w:tcPr>
            <w:tcW w:type="dxa" w:w="1368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eastAsia="Noto Serif SC"/>
                <w:sz w:val="20"/>
              </w:rPr>
              <w:t>134 + 3</w:t>
            </w:r>
          </w:p>
        </w:tc>
        <w:tc>
          <w:tcPr>
            <w:tcW w:type="dxa" w:w="6264"/>
            <w:vAlign w:val="center"/>
            <w:shd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五款标准酒容量、部分转移、整块冰、弃液、失败写入及新进程恢复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原有评价、库存、出品回归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eastAsia="Noto Serif SC"/>
                <w:sz w:val="20"/>
              </w:rPr>
              <w:t>36 + 44 + 33</w:t>
            </w:r>
          </w:p>
        </w:tc>
        <w:tc>
          <w:tcPr>
            <w:tcW w:type="dxa" w:w="62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eastAsia="Noto Serif SC"/>
                <w:sz w:val="20"/>
              </w:rPr>
              <w:t>品质与仓库接口继续工作</w:t>
            </w:r>
          </w:p>
        </w:tc>
      </w:tr>
    </w:tbl>
    <w:p>
      <w:pPr>
        <w:spacing w:after="0"/>
      </w:pPr>
    </w:p>
    <w:p>
      <w:r>
        <w:rPr>
          <w:rFonts w:eastAsia="Noto Serif SC"/>
        </w:rPr>
        <w:t xml:space="preserve">合计 364 项断言通过。测试使用独立 </w:t>
      </w:r>
      <w:r>
        <w:rPr>
          <w:rFonts w:ascii="Consolas" w:hAnsi="Consolas" w:eastAsia="Noto Serif SC"/>
          <w:sz w:val="19"/>
        </w:rPr>
        <w:t>/tmp</w:t>
      </w:r>
      <w:r>
        <w:rPr>
          <w:rFonts w:eastAsia="Noto Serif SC"/>
        </w:rPr>
        <w:t xml:space="preserve"> 存档，未修改玩家真实库存与存档。原生图形测试没有脚本或渲染报错；部分无头测试退出时仍有既有的 ObjectDB/资源未释放提示，这属于待清理的退出资源问题，不计为零日志警告。</w:t>
      </w:r>
    </w:p>
    <w:p>
      <w:r>
        <w:rPr>
          <w:rFonts w:eastAsia="Noto Serif SC"/>
        </w:rPr>
        <w:t xml:space="preserve">程序同事可在项目根目录运行 </w:t>
      </w:r>
      <w:r>
        <w:rPr>
          <w:rFonts w:ascii="Consolas" w:hAnsi="Consolas" w:eastAsia="Noto Serif SC"/>
          <w:sz w:val="19"/>
        </w:rPr>
        <w:t>python3 tests/run_workbench_liquid.py --godot /实际路径/Godot --graphics</w:t>
      </w:r>
      <w:r>
        <w:rPr>
          <w:rFonts w:eastAsia="Noto Serif SC"/>
        </w:rPr>
        <w:t>。此脚本自动建立独立临时存档并运行核心回归、原生界面与重启恢复检查。容量专项需单独运行。</w:t>
      </w:r>
    </w:p>
    <w:p>
      <w:r>
        <w:rPr>
          <w:rFonts w:eastAsia="Noto Serif SC"/>
        </w:rPr>
        <w:t xml:space="preserve">新增入口为 </w:t>
      </w:r>
      <w:r>
        <w:rPr>
          <w:rFonts w:ascii="Consolas" w:hAnsi="Consolas" w:eastAsia="Noto Serif SC"/>
          <w:sz w:val="19"/>
        </w:rPr>
        <w:t>tests/verify_workbench_liquid.tscn</w:t>
      </w:r>
      <w:r>
        <w:rPr>
          <w:rFonts w:eastAsia="Noto Serif SC"/>
        </w:rPr>
        <w:t xml:space="preserve"> 与 </w:t>
      </w:r>
      <w:r>
        <w:rPr>
          <w:rFonts w:ascii="Consolas" w:hAnsi="Consolas" w:eastAsia="Noto Serif SC"/>
          <w:sz w:val="19"/>
        </w:rPr>
        <w:t>tests/verify_workbench_liquid_visual.tscn</w:t>
      </w:r>
      <w:r>
        <w:rPr>
          <w:rFonts w:eastAsia="Noto Serif SC"/>
        </w:rPr>
        <w:t xml:space="preserve">。运行需使用独立的 </w:t>
      </w:r>
      <w:r>
        <w:rPr>
          <w:rFonts w:ascii="Consolas" w:hAnsi="Consolas" w:eastAsia="Noto Serif SC"/>
          <w:sz w:val="19"/>
        </w:rPr>
        <w:t>--slot-wallet</w:t>
      </w:r>
      <w:r>
        <w:rPr>
          <w:rFonts w:eastAsia="Noto Serif SC"/>
        </w:rPr>
        <w:t>、</w:t>
      </w:r>
      <w:r>
        <w:rPr>
          <w:rFonts w:ascii="Consolas" w:hAnsi="Consolas" w:eastAsia="Noto Serif SC"/>
          <w:sz w:val="19"/>
        </w:rPr>
        <w:t>--dialogue-save</w:t>
      </w:r>
      <w:r>
        <w:rPr>
          <w:rFonts w:eastAsia="Noto Serif SC"/>
        </w:rPr>
        <w:t>、</w:t>
      </w:r>
      <w:r>
        <w:rPr>
          <w:rFonts w:ascii="Consolas" w:hAnsi="Consolas" w:eastAsia="Noto Serif SC"/>
          <w:sz w:val="19"/>
        </w:rPr>
        <w:t>--game-save</w:t>
      </w:r>
      <w:r>
        <w:rPr>
          <w:rFonts w:eastAsia="Noto Serif SC"/>
        </w:rPr>
        <w:t>、</w:t>
      </w:r>
      <w:r>
        <w:rPr>
          <w:rFonts w:ascii="Consolas" w:hAnsi="Consolas" w:eastAsia="Noto Serif SC"/>
          <w:sz w:val="19"/>
        </w:rPr>
        <w:t>--menu-save</w:t>
      </w:r>
      <w:r>
        <w:rPr>
          <w:rFonts w:eastAsia="Noto Serif SC"/>
        </w:rPr>
        <w:t>、</w:t>
      </w:r>
      <w:r>
        <w:rPr>
          <w:rFonts w:ascii="Consolas" w:hAnsi="Consolas" w:eastAsia="Noto Serif SC"/>
          <w:sz w:val="19"/>
        </w:rPr>
        <w:t>--supplies-save</w:t>
      </w:r>
      <w:r>
        <w:rPr>
          <w:rFonts w:eastAsia="Noto Serif SC"/>
        </w:rPr>
        <w:t>、</w:t>
      </w:r>
      <w:r>
        <w:rPr>
          <w:rFonts w:ascii="Consolas" w:hAnsi="Consolas" w:eastAsia="Noto Serif SC"/>
          <w:sz w:val="19"/>
        </w:rPr>
        <w:t>--workbench-save</w:t>
      </w:r>
      <w:r>
        <w:rPr>
          <w:rFonts w:eastAsia="Noto Serif SC"/>
        </w:rPr>
        <w:t>、</w:t>
      </w:r>
      <w:r>
        <w:rPr>
          <w:rFonts w:ascii="Consolas" w:hAnsi="Consolas" w:eastAsia="Noto Serif SC"/>
          <w:sz w:val="19"/>
        </w:rPr>
        <w:t>--audio-settings</w:t>
      </w:r>
      <w:r>
        <w:rPr>
          <w:rFonts w:eastAsia="Noto Serif SC"/>
        </w:rPr>
        <w:t xml:space="preserve"> 路径；测试基类会拒绝使用玩家目录。图形组需用原生窗口运行；使用同一组临时路径加 </w:t>
      </w:r>
      <w:r>
        <w:rPr>
          <w:rFonts w:ascii="Consolas" w:hAnsi="Consolas" w:eastAsia="Noto Serif SC"/>
          <w:sz w:val="19"/>
        </w:rPr>
        <w:t>--liquid-resume</w:t>
      </w:r>
      <w:r>
        <w:rPr>
          <w:rFonts w:eastAsia="Noto Serif SC"/>
        </w:rPr>
        <w:t xml:space="preserve"> 可检查另一个进程的恢复。</w:t>
      </w:r>
    </w:p>
    <w:p>
      <w:r>
        <w:rPr>
          <w:rFonts w:eastAsia="Noto Serif SC"/>
        </w:rPr>
        <w:t>人工试玩可按以下顺序复查：在高球杯依次加入不同色原料；观察分层；拖入吧勺并短暂搅拌、停手，再继续到混匀；加入一份新原料检查新顶层；通过容器向较小杯倒出，确认杯满后有余量；退出再进入；最后出杯核对弹窗。</w:t>
      </w:r>
    </w:p>
    <w:p>
      <w:pPr>
        <w:pStyle w:val="Heading1"/>
      </w:pPr>
      <w:r>
        <w:rPr>
          <w:rFonts w:eastAsia="Noto Serif SC"/>
        </w:rPr>
        <w:t>后续改进建议</w:t>
      </w:r>
    </w:p>
    <w:p>
      <w:pPr>
        <w:pStyle w:val="ListBullet"/>
      </w:pPr>
      <w:r>
        <w:rPr>
          <w:rFonts w:eastAsia="Noto Serif SC"/>
          <w:b/>
        </w:rPr>
        <w:t>美术校色与参数面板</w:t>
      </w:r>
      <w:r>
        <w:rPr>
          <w:rFonts w:eastAsia="Noto Serif SC"/>
        </w:rPr>
        <w:t>：由美术统一审核 16 种液体的基础色、着色强度、浑浊度，并制作可并排对比昼夜背景的配置预览工具。目前编辑配置仍通过 JSON，没有新增可视化后台。</w:t>
      </w:r>
    </w:p>
    <w:p>
      <w:pPr>
        <w:pStyle w:val="ListBullet"/>
      </w:pPr>
      <w:r>
        <w:rPr>
          <w:rFonts w:eastAsia="Noto Serif SC"/>
          <w:b/>
        </w:rPr>
        <w:t>液层边界和混合动效</w:t>
      </w:r>
      <w:r>
        <w:rPr>
          <w:rFonts w:eastAsia="Noto Serif SC"/>
        </w:rPr>
        <w:t>：增加柔和边界、局部旋涡、泡沫和细小气泡；当前主要通过液层颜色渐近和原有液面波纹表达混合。</w:t>
      </w:r>
    </w:p>
    <w:p>
      <w:pPr>
        <w:pStyle w:val="ListBullet"/>
      </w:pPr>
      <w:r>
        <w:rPr>
          <w:rFonts w:eastAsia="Noto Serif SC"/>
          <w:b/>
        </w:rPr>
        <w:t>物理近似</w:t>
      </w:r>
      <w:r>
        <w:rPr>
          <w:rFonts w:eastAsia="Noto Serif SC"/>
        </w:rPr>
        <w:t>：按需加入密度、倒入冲击和自然扩散。当前分层完全按加入顺序，不计算真实稳定性，混匀后也不会自然重新分层。</w:t>
      </w:r>
    </w:p>
    <w:p>
      <w:pPr>
        <w:pStyle w:val="ListBullet"/>
      </w:pPr>
      <w:r>
        <w:rPr>
          <w:rFonts w:eastAsia="Noto Serif SC"/>
          <w:b/>
        </w:rPr>
        <w:t>冰与原料萃取</w:t>
      </w:r>
      <w:r>
        <w:rPr>
          <w:rFonts w:eastAsia="Noto Serif SC"/>
        </w:rPr>
        <w:t>：建立融水、温度、果汁释放和薄荷轻压的定量规则后，再把新增液体及色素接入模型。现阶段冰占位、固体和装饰保持独立，不凭空生成融水或绿色染色。</w:t>
      </w:r>
    </w:p>
    <w:p>
      <w:pPr>
        <w:pStyle w:val="ListBullet"/>
      </w:pPr>
      <w:r>
        <w:rPr>
          <w:rFonts w:eastAsia="Noto Serif SC"/>
          <w:b/>
        </w:rPr>
        <w:t>研发专属目标与评价</w:t>
      </w:r>
      <w:r>
        <w:rPr>
          <w:rFonts w:eastAsia="Noto Serif SC"/>
        </w:rPr>
        <w:t>：支持均匀／分层呈现目标、图鉴 DIY 保存与版本修订，补充按目标呈现评价的规则，避免把刻意分层统一当作制作失败。</w:t>
      </w:r>
    </w:p>
    <w:p>
      <w:pPr>
        <w:pStyle w:val="ListBullet"/>
      </w:pPr>
      <w:r>
        <w:rPr>
          <w:rFonts w:eastAsia="Noto Serif SC"/>
          <w:b/>
        </w:rPr>
        <w:t>性能与版本维护</w:t>
      </w:r>
      <w:r>
        <w:rPr>
          <w:rFonts w:eastAsia="Noto Serif SC"/>
        </w:rPr>
        <w:t>：大量微量交替加料可能形成较多液层；后续评估显示合并上限及长期存档体积。调色算法升级需补充历史版本回放与迁移测试。</w:t>
      </w:r>
    </w:p>
    <w:p>
      <w:r>
        <w:rPr>
          <w:rFonts w:eastAsia="Noto Serif SC"/>
        </w:rPr>
        <w:t>建议先完成美术校色与 DIY 研发保存流程，再逐步加入密度、融水等复杂规则；这些后续项尚未计入本次实现。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erif SC" w:hAnsi="Noto Serif SC" w:eastAsia="Noto Serif SC"/>
        <w:sz w:val="18"/>
      </w:rPr>
      <w:t xml:space="preserve">v0.10.0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erif SC" w:hAnsi="Noto Serif SC" w:eastAsia="Noto Serif SC"/>
        <w:color w:val="000000"/>
        <w:sz w:val="18"/>
      </w:rPr>
      <w:t>致未归的客人  /  工作台开发交接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Noto Serif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Noto Serif SC" w:hAnsi="Noto Serif SC" w:eastAsia="Noto Serif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88" w:lineRule="auto"/>
      <w:outlineLvl w:val="0"/>
    </w:pPr>
    <w:rPr>
      <w:rFonts w:cstheme="majorBidi" w:ascii="Noto Serif SC" w:hAnsi="Noto Serif SC" w:eastAsia="Noto Serif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288" w:lineRule="auto"/>
      <w:outlineLvl w:val="1"/>
    </w:pPr>
    <w:rPr>
      <w:rFonts w:cstheme="majorBidi" w:ascii="Noto Serif SC" w:hAnsi="Noto Serif SC" w:eastAsia="Noto Serif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88" w:lineRule="auto"/>
      <w:outlineLvl w:val="2"/>
    </w:pPr>
    <w:rPr>
      <w:rFonts w:cstheme="majorBidi" w:ascii="Noto Serif SC" w:hAnsi="Noto Serif SC" w:eastAsia="Noto Serif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Noto Serif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Noto Serif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Noto Serif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Noto Serif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Noto Serif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Noto Serif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Noto Serif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Noto Serif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Noto Serif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 w:before="260"/>
      <w:contextualSpacing/>
    </w:pPr>
    <w:rPr>
      <w:rFonts w:cstheme="majorBidi" w:ascii="Noto Serif SC" w:hAnsi="Noto Serif SC" w:eastAsia="Noto Serif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Noto Serif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after="140"/>
    </w:pPr>
    <w:rPr>
      <w:rFonts w:cstheme="majorBidi" w:ascii="Noto Serif SC" w:hAnsi="Noto Serif SC" w:eastAsia="Noto Serif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Noto Serif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8" w:lineRule="auto" w:after="140"/>
      <w:contextualSpacing/>
    </w:pPr>
    <w:rPr>
      <w:rFonts w:ascii="Noto Serif SC" w:hAnsi="Noto Serif SC" w:eastAsia="Noto Serif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8" w:lineRule="auto" w:after="140"/>
      <w:contextualSpacing/>
    </w:pPr>
    <w:rPr>
      <w:rFonts w:ascii="Noto Serif SC" w:hAnsi="Noto Serif SC" w:eastAsia="Noto Serif SC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Noto Serif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Noto Serif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Noto Serif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Noto Serif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Noto Serif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Noto Serif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Noto Serif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Noto Serif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220"/>
    </w:pPr>
    <w:rPr>
      <w:rFonts w:ascii="Noto Serif SC" w:hAnsi="Noto Serif SC" w:eastAsia="Noto Serif SC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erif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Noto Serif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Noto Serif SC"/>
        <w:b/>
        <w:bCs/>
      </w:rPr>
    </w:tblStylePr>
    <w:tblStylePr w:type="lastCol">
      <w:rPr>
        <w:rFonts w:cstheme="majorBidi" w:eastAsia="Noto Serif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erif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Noto Serif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Noto Serif SC"/>
        <w:b/>
        <w:bCs/>
      </w:rPr>
    </w:tblStylePr>
    <w:tblStylePr w:type="lastCol">
      <w:rPr>
        <w:rFonts w:cstheme="majorBidi" w:eastAsia="Noto Serif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erif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Noto Serif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Noto Serif SC"/>
        <w:b/>
        <w:bCs/>
      </w:rPr>
    </w:tblStylePr>
    <w:tblStylePr w:type="lastCol">
      <w:rPr>
        <w:rFonts w:cstheme="majorBidi" w:eastAsia="Noto Serif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erif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Noto Serif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Noto Serif SC"/>
        <w:b/>
        <w:bCs/>
      </w:rPr>
    </w:tblStylePr>
    <w:tblStylePr w:type="lastCol">
      <w:rPr>
        <w:rFonts w:cstheme="majorBidi" w:eastAsia="Noto Serif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erif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Noto Serif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Noto Serif SC"/>
        <w:b/>
        <w:bCs/>
      </w:rPr>
    </w:tblStylePr>
    <w:tblStylePr w:type="lastCol">
      <w:rPr>
        <w:rFonts w:cstheme="majorBidi" w:eastAsia="Noto Serif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erif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Noto Serif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Noto Serif SC"/>
        <w:b/>
        <w:bCs/>
      </w:rPr>
    </w:tblStylePr>
    <w:tblStylePr w:type="lastCol">
      <w:rPr>
        <w:rFonts w:cstheme="majorBidi" w:eastAsia="Noto Serif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Noto Serif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Noto Serif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Noto Serif SC"/>
        <w:b/>
        <w:bCs/>
      </w:rPr>
    </w:tblStylePr>
    <w:tblStylePr w:type="lastCol">
      <w:rPr>
        <w:rFonts w:cstheme="majorBidi" w:eastAsia="Noto Serif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erif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erif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erif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erif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erif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erif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Noto Serif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Noto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Noto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Noto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Noto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Noto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Noto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Noto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Noto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Noto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Noto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Noto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Noto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Noto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Noto Serif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酒液分层与调色系统交接说明</dc:title>
  <dc:subject>统一原料外观、液层、渐进混合与 DIY 研发接入</dc:subject>
  <dc:creator>致未归的客人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