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before="100" w:beforeAutospacing="1" w:after="100" w:afterAutospacing="1" w:line="240" w:lineRule="atLeast"/>
        <w:jc w:val="center"/>
        <w:rPr>
          <w:rFonts w:ascii="Times New Roman" w:hAnsi="Times New Roman" w:eastAsia="宋体" w:cs="宋体"/>
          <w:b/>
          <w:bCs/>
          <w:color w:val="404040"/>
          <w:kern w:val="0"/>
          <w:sz w:val="30"/>
          <w:szCs w:val="30"/>
        </w:rPr>
      </w:pPr>
      <w:bookmarkStart w:id="0" w:name="OLE_LINK2"/>
      <w:r>
        <w:rPr>
          <w:rFonts w:hint="eastAsia" w:ascii="Times New Roman" w:hAnsi="Times New Roman" w:eastAsia="宋体" w:cs="宋体"/>
          <w:b/>
          <w:bCs/>
          <w:color w:val="404040"/>
          <w:kern w:val="0"/>
          <w:sz w:val="30"/>
          <w:szCs w:val="30"/>
        </w:rPr>
        <w:t>贵州大学研究生中间环节培养系列表</w:t>
      </w:r>
      <w:bookmarkEnd w:id="0"/>
    </w:p>
    <w:p>
      <w:pPr>
        <w:widowControl/>
        <w:snapToGrid w:val="0"/>
        <w:spacing w:before="100" w:beforeAutospacing="1" w:after="100" w:afterAutospacing="1" w:line="240" w:lineRule="atLeast"/>
        <w:jc w:val="center"/>
        <w:rPr>
          <w:rFonts w:ascii="宋体" w:hAnsi="宋体" w:eastAsia="宋体" w:cs="宋体"/>
          <w:b/>
          <w:bCs/>
          <w:color w:val="404040"/>
          <w:kern w:val="0"/>
          <w:sz w:val="30"/>
          <w:szCs w:val="30"/>
        </w:rPr>
      </w:pPr>
      <w:r>
        <w:rPr>
          <w:rFonts w:hint="eastAsia" w:ascii="Times New Roman" w:hAnsi="Times New Roman" w:eastAsia="宋体" w:cs="宋体"/>
          <w:b/>
          <w:bCs/>
          <w:color w:val="404040"/>
          <w:kern w:val="0"/>
          <w:sz w:val="30"/>
          <w:szCs w:val="30"/>
        </w:rPr>
        <w:t>学术报告</w:t>
      </w:r>
    </w:p>
    <w:tbl>
      <w:tblPr>
        <w:tblStyle w:val="4"/>
        <w:tblW w:w="8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1"/>
        <w:gridCol w:w="810"/>
        <w:gridCol w:w="1908"/>
        <w:gridCol w:w="1585"/>
        <w:gridCol w:w="680"/>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291"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姓</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名</w:t>
            </w:r>
          </w:p>
        </w:tc>
        <w:tc>
          <w:tcPr>
            <w:tcW w:w="271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ascii="宋体" w:hAnsi="宋体" w:eastAsia="宋体" w:cs="宋体"/>
                <w:color w:val="404040"/>
                <w:kern w:val="0"/>
                <w:sz w:val="24"/>
                <w:szCs w:val="24"/>
              </w:rPr>
            </w:pPr>
            <w:r>
              <w:rPr>
                <w:rFonts w:hint="eastAsia" w:ascii="宋体" w:hAnsi="宋体" w:eastAsia="宋体" w:cs="宋体"/>
                <w:color w:val="404040"/>
                <w:kern w:val="0"/>
                <w:sz w:val="24"/>
                <w:szCs w:val="24"/>
              </w:rPr>
              <w:t xml:space="preserve"> </w:t>
            </w:r>
            <w:r>
              <w:rPr>
                <w:rFonts w:ascii="宋体" w:hAnsi="宋体" w:eastAsia="宋体" w:cs="宋体"/>
                <w:color w:val="404040"/>
                <w:kern w:val="0"/>
                <w:sz w:val="24"/>
                <w:szCs w:val="24"/>
              </w:rPr>
              <w:t>冯仁艳</w:t>
            </w:r>
          </w:p>
        </w:tc>
        <w:tc>
          <w:tcPr>
            <w:tcW w:w="158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导</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师</w:t>
            </w:r>
          </w:p>
        </w:tc>
        <w:tc>
          <w:tcPr>
            <w:tcW w:w="2964"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rPr>
            </w:pPr>
            <w:r>
              <w:rPr>
                <w:rFonts w:ascii="宋体" w:hAnsi="宋体" w:eastAsia="宋体" w:cs="宋体"/>
                <w:color w:val="404040"/>
                <w:kern w:val="0"/>
                <w:sz w:val="24"/>
                <w:szCs w:val="24"/>
              </w:rPr>
              <w:t>王以松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1291"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年</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级</w:t>
            </w:r>
          </w:p>
        </w:tc>
        <w:tc>
          <w:tcPr>
            <w:tcW w:w="271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ascii="宋体" w:hAnsi="宋体" w:eastAsia="宋体" w:cs="宋体"/>
                <w:color w:val="404040"/>
                <w:kern w:val="0"/>
                <w:sz w:val="24"/>
                <w:szCs w:val="24"/>
              </w:rPr>
            </w:pPr>
            <w:r>
              <w:rPr>
                <w:rFonts w:ascii="宋体" w:hAnsi="宋体" w:eastAsia="宋体" w:cs="宋体"/>
                <w:color w:val="404040"/>
                <w:kern w:val="0"/>
                <w:sz w:val="24"/>
                <w:szCs w:val="24"/>
              </w:rPr>
              <w:t>2018级</w:t>
            </w:r>
          </w:p>
        </w:tc>
        <w:tc>
          <w:tcPr>
            <w:tcW w:w="158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院、系</w:t>
            </w:r>
          </w:p>
        </w:tc>
        <w:tc>
          <w:tcPr>
            <w:tcW w:w="2964"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rPr>
            </w:pPr>
            <w:r>
              <w:rPr>
                <w:rFonts w:ascii="宋体" w:hAnsi="宋体" w:eastAsia="宋体" w:cs="宋体"/>
                <w:color w:val="404040"/>
                <w:kern w:val="0"/>
                <w:sz w:val="24"/>
                <w:szCs w:val="24"/>
              </w:rPr>
              <w:t>计算机</w:t>
            </w:r>
            <w:r>
              <w:rPr>
                <w:rFonts w:hint="eastAsia" w:ascii="宋体" w:hAnsi="宋体" w:eastAsia="宋体" w:cs="宋体"/>
                <w:color w:val="404040"/>
                <w:kern w:val="0"/>
                <w:sz w:val="24"/>
                <w:szCs w:val="24"/>
              </w:rPr>
              <w:t>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1291"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专</w:t>
            </w:r>
            <w:r>
              <w:rPr>
                <w:rFonts w:ascii="宋体" w:hAnsi="宋体" w:eastAsia="宋体" w:cs="宋体"/>
                <w:b/>
                <w:bCs/>
                <w:color w:val="404040"/>
                <w:kern w:val="0"/>
                <w:sz w:val="28"/>
                <w:szCs w:val="24"/>
              </w:rPr>
              <w:t xml:space="preserve"> </w:t>
            </w:r>
            <w:r>
              <w:rPr>
                <w:rFonts w:hint="eastAsia" w:ascii="Times New Roman" w:hAnsi="Times New Roman" w:eastAsia="宋体" w:cs="宋体"/>
                <w:b/>
                <w:bCs/>
                <w:color w:val="404040"/>
                <w:kern w:val="0"/>
                <w:sz w:val="28"/>
                <w:szCs w:val="24"/>
              </w:rPr>
              <w:t>业</w:t>
            </w:r>
          </w:p>
        </w:tc>
        <w:tc>
          <w:tcPr>
            <w:tcW w:w="2718"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rPr>
              <w:t xml:space="preserve"> </w:t>
            </w:r>
            <w:r>
              <w:rPr>
                <w:rFonts w:hint="eastAsia" w:ascii="宋体" w:hAnsi="宋体" w:eastAsia="宋体" w:cs="宋体"/>
                <w:color w:val="404040"/>
                <w:kern w:val="0"/>
                <w:sz w:val="24"/>
                <w:szCs w:val="24"/>
                <w:lang w:val="en-US" w:eastAsia="zh-CN"/>
              </w:rPr>
              <w:t>软件工程</w:t>
            </w:r>
          </w:p>
        </w:tc>
        <w:tc>
          <w:tcPr>
            <w:tcW w:w="1585"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研究方向</w:t>
            </w:r>
          </w:p>
        </w:tc>
        <w:tc>
          <w:tcPr>
            <w:tcW w:w="2964" w:type="dxa"/>
            <w:gridSpan w:val="2"/>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ascii="宋体" w:hAnsi="宋体" w:eastAsia="宋体" w:cs="宋体"/>
                <w:color w:val="404040"/>
                <w:kern w:val="0"/>
                <w:sz w:val="24"/>
                <w:szCs w:val="24"/>
              </w:rPr>
            </w:pPr>
            <w:r>
              <w:rPr>
                <w:rFonts w:hint="eastAsia" w:ascii="宋体" w:hAnsi="宋体" w:eastAsia="宋体" w:cs="宋体"/>
                <w:color w:val="404040"/>
                <w:kern w:val="0"/>
                <w:sz w:val="24"/>
                <w:szCs w:val="24"/>
              </w:rPr>
              <w:t>软件工程技术与人工智能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2101"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学术报告名称</w:t>
            </w:r>
          </w:p>
        </w:tc>
        <w:tc>
          <w:tcPr>
            <w:tcW w:w="6457" w:type="dxa"/>
            <w:gridSpan w:val="4"/>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line="240" w:lineRule="auto"/>
              <w:jc w:val="left"/>
              <w:textAlignment w:val="auto"/>
              <w:rPr>
                <w:rFonts w:hint="eastAsia" w:ascii="宋体" w:hAnsi="宋体" w:eastAsia="宋体" w:cs="宋体"/>
                <w:color w:val="404040"/>
                <w:kern w:val="0"/>
                <w:sz w:val="24"/>
                <w:szCs w:val="24"/>
              </w:rPr>
            </w:pPr>
            <w:r>
              <w:rPr>
                <w:rFonts w:hint="eastAsia" w:ascii="宋体" w:hAnsi="宋体" w:eastAsia="宋体" w:cs="宋体"/>
                <w:color w:val="404040"/>
                <w:kern w:val="0"/>
                <w:sz w:val="24"/>
                <w:szCs w:val="24"/>
                <w:lang w:val="en-US" w:eastAsia="zh-CN"/>
              </w:rPr>
              <w:t>Using the Knowledge Expression and Reasonging method to solve the problems in Formal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jc w:val="center"/>
        </w:trPr>
        <w:tc>
          <w:tcPr>
            <w:tcW w:w="2101"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学术报告时间</w:t>
            </w:r>
          </w:p>
        </w:tc>
        <w:tc>
          <w:tcPr>
            <w:tcW w:w="190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before="100" w:beforeAutospacing="1" w:after="100" w:afterAutospacing="1" w:line="240" w:lineRule="auto"/>
              <w:ind w:left="240" w:hanging="240" w:hangingChars="100"/>
              <w:jc w:val="left"/>
              <w:textAlignment w:val="auto"/>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rPr>
              <w:t xml:space="preserve"> </w:t>
            </w:r>
            <w:r>
              <w:rPr>
                <w:rFonts w:hint="eastAsia" w:ascii="宋体" w:hAnsi="宋体" w:eastAsia="宋体" w:cs="宋体"/>
                <w:color w:val="404040"/>
                <w:kern w:val="0"/>
                <w:sz w:val="24"/>
                <w:szCs w:val="24"/>
                <w:lang w:val="en-US" w:eastAsia="zh-CN"/>
              </w:rPr>
              <w:t xml:space="preserve">2020.09.14 </w:t>
            </w:r>
          </w:p>
        </w:tc>
        <w:tc>
          <w:tcPr>
            <w:tcW w:w="2265"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学术报告地点</w:t>
            </w:r>
          </w:p>
        </w:tc>
        <w:tc>
          <w:tcPr>
            <w:tcW w:w="2284" w:type="dxa"/>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rPr>
              <w:t xml:space="preserve"> </w:t>
            </w:r>
            <w:r>
              <w:rPr>
                <w:rFonts w:hint="eastAsia" w:ascii="宋体" w:hAnsi="宋体" w:eastAsia="宋体" w:cs="宋体"/>
                <w:color w:val="404040"/>
                <w:kern w:val="0"/>
                <w:sz w:val="24"/>
                <w:szCs w:val="24"/>
                <w:lang w:val="en-US" w:eastAsia="zh-CN"/>
              </w:rPr>
              <w:t>线上会议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0" w:hRule="atLeast"/>
          <w:jc w:val="center"/>
        </w:trPr>
        <w:tc>
          <w:tcPr>
            <w:tcW w:w="8558" w:type="dxa"/>
            <w:gridSpan w:val="6"/>
            <w:tcBorders>
              <w:top w:val="single" w:color="auto" w:sz="4" w:space="0"/>
              <w:left w:val="single" w:color="auto" w:sz="4" w:space="0"/>
              <w:bottom w:val="single" w:color="auto" w:sz="4" w:space="0"/>
              <w:right w:val="single" w:color="auto" w:sz="4" w:space="0"/>
            </w:tcBorders>
            <w:vAlign w:val="center"/>
          </w:tcPr>
          <w:p>
            <w:pPr>
              <w:widowControl/>
              <w:spacing w:before="100" w:beforeAutospacing="1" w:after="100" w:afterAutospacing="1" w:line="480" w:lineRule="exact"/>
              <w:jc w:val="center"/>
              <w:rPr>
                <w:rFonts w:ascii="宋体" w:hAnsi="宋体" w:eastAsia="宋体" w:cs="宋体"/>
                <w:b/>
                <w:bCs/>
                <w:color w:val="404040"/>
                <w:kern w:val="0"/>
                <w:sz w:val="28"/>
                <w:szCs w:val="24"/>
              </w:rPr>
            </w:pPr>
            <w:r>
              <w:rPr>
                <w:rFonts w:hint="eastAsia" w:ascii="Times New Roman" w:hAnsi="Times New Roman" w:eastAsia="宋体" w:cs="宋体"/>
                <w:b/>
                <w:bCs/>
                <w:color w:val="404040"/>
                <w:kern w:val="0"/>
                <w:sz w:val="28"/>
                <w:szCs w:val="24"/>
              </w:rPr>
              <w:t>学术报告主要内容</w:t>
            </w:r>
            <w:r>
              <w:rPr>
                <w:rFonts w:ascii="宋体" w:hAnsi="宋体" w:eastAsia="宋体" w:cs="宋体"/>
                <w:b/>
                <w:bCs/>
                <w:color w:val="404040"/>
                <w:kern w:val="0"/>
                <w:sz w:val="28"/>
                <w:szCs w:val="24"/>
              </w:rPr>
              <w:t>(</w:t>
            </w:r>
            <w:r>
              <w:rPr>
                <w:rFonts w:hint="eastAsia" w:ascii="Times New Roman" w:hAnsi="Times New Roman" w:eastAsia="宋体" w:cs="宋体"/>
                <w:b/>
                <w:bCs/>
                <w:color w:val="404040"/>
                <w:kern w:val="0"/>
                <w:sz w:val="28"/>
                <w:szCs w:val="24"/>
              </w:rPr>
              <w:t>至少</w:t>
            </w:r>
            <w:r>
              <w:rPr>
                <w:rFonts w:ascii="宋体" w:hAnsi="宋体" w:eastAsia="宋体" w:cs="宋体"/>
                <w:b/>
                <w:bCs/>
                <w:color w:val="404040"/>
                <w:kern w:val="0"/>
                <w:sz w:val="28"/>
                <w:szCs w:val="24"/>
              </w:rPr>
              <w:t>2000</w:t>
            </w:r>
            <w:r>
              <w:rPr>
                <w:rFonts w:hint="eastAsia" w:ascii="Times New Roman" w:hAnsi="Times New Roman" w:eastAsia="宋体" w:cs="宋体"/>
                <w:b/>
                <w:bCs/>
                <w:color w:val="404040"/>
                <w:kern w:val="0"/>
                <w:sz w:val="28"/>
                <w:szCs w:val="24"/>
              </w:rPr>
              <w:t>字</w:t>
            </w:r>
            <w:r>
              <w:rPr>
                <w:rFonts w:ascii="宋体" w:hAnsi="宋体" w:eastAsia="宋体" w:cs="宋体"/>
                <w:b/>
                <w:bCs/>
                <w:color w:val="404040"/>
                <w:kern w:val="0"/>
                <w:sz w:val="28"/>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539" w:hRule="atLeast"/>
          <w:jc w:val="center"/>
        </w:trPr>
        <w:tc>
          <w:tcPr>
            <w:tcW w:w="8558" w:type="dxa"/>
            <w:gridSpan w:val="6"/>
            <w:tcBorders>
              <w:top w:val="single" w:color="auto" w:sz="4" w:space="0"/>
              <w:left w:val="single" w:color="auto" w:sz="4" w:space="0"/>
              <w:bottom w:val="single" w:color="auto" w:sz="4" w:space="0"/>
              <w:right w:val="single" w:color="auto" w:sz="4" w:space="0"/>
            </w:tcBorders>
            <w:vAlign w:val="center"/>
          </w:tcPr>
          <w:p>
            <w:pPr>
              <w:widowControl/>
              <w:numPr>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形式化验证是一种广泛应用在硬件和软件系统中有别于测试的、采用数学方法证明系统满足给定特性的验证（verification）技术。软件和硬件系统的缺陷会导致严重的后果。近年来，为了减少系统（尤其是像火箭发射系统和卫星发射系统等关键领域的系统）错误带来的损失，形式化方法的研究与应用越来越受到人们的重视。INTEL、AMD、IBM、NVIDIA、CADENCE、 Motorola、西门子和微软等大型公司纷纷引入了形式化验证方法。与此同时，学术界也在形式化验证领域取得了突破性的成果，比如：剑桥大学对ARM6处理器进行了验证， 为类似于ARM这样的处理器提供了潜在的形式化验证方法，德国的Verisoft项目验证了一个一万行的操作系统内核。</w:t>
            </w:r>
          </w:p>
          <w:p>
            <w:pPr>
              <w:widowControl/>
              <w:numPr>
                <w:ilvl w:val="0"/>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形式化验证的模型检测首先由Clarke提出，并用于解决并发系统验证问题。Clarke和Emerson指出，在有限状态的并发系统中，使用时态逻辑推演系统（deductive system）中的公理和推理规则进行构造性证明（proof construction）的方法证明系统是否满足</w:t>
            </w:r>
            <w:bookmarkStart w:id="2" w:name="_GoBack"/>
            <w:bookmarkEnd w:id="2"/>
            <w:r>
              <w:rPr>
                <w:rFonts w:hint="eastAsia" w:ascii="宋体" w:hAnsi="宋体" w:eastAsia="宋体" w:cs="宋体"/>
                <w:color w:val="404040"/>
                <w:kern w:val="0"/>
                <w:sz w:val="24"/>
                <w:szCs w:val="24"/>
                <w:lang w:val="en-US" w:eastAsia="zh-CN"/>
              </w:rPr>
              <w:t>给定的规范是不必要的。因为在有限状态并发系统中，并发系统可以被抽象为一个Kripke结构M，规范被表示成一个逻辑公式F；此时，该验证问题就变成检验一个Kripke结构是否满足该公式，即模型检测: 判断M是否是F的一个模型。</w:t>
            </w:r>
          </w:p>
          <w:p>
            <w:pPr>
              <w:widowControl/>
              <w:numPr>
                <w:ilvl w:val="0"/>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Dijkstra在1976年的文章中说：显著提高程序置信度的唯一有效方法是对其正确性给出令人信服的证明。程序的正确性的证明从Dijkstra的数学证明发展到McCarthy、Floyd、Hoare等人的系统的形式化证明。研究表明，由于在真实的软件系统中不仅包括复杂的数据结构还包含有代码之间的上下文关系[18]，这些方法都不能付诸于实践当中。因此，采用自动的方法来验证像反应式系统这类不终止且非确定的复杂系统得到迅速的发展，其中时态逻辑模型检测是一种较为有效的方法。</w:t>
            </w:r>
          </w:p>
          <w:p>
            <w:pPr>
              <w:widowControl/>
              <w:numPr>
                <w:ilvl w:val="0"/>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随着时态逻辑的发展，Allen Emerson和Clarke于1981年结合了解决状态爆炸的方法和时态逻辑，正式将模型检测应用到验证有限状态反应式系统是否满足一个用时态逻辑描述的规范中。也就是将并发系统用一个有限的Kripke结构来表示，而其规范用一个分支时态逻辑公式来表示，然后验证该结构是否为此公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869" w:hRule="atLeast"/>
          <w:jc w:val="center"/>
        </w:trPr>
        <w:tc>
          <w:tcPr>
            <w:tcW w:w="8558" w:type="dxa"/>
            <w:gridSpan w:val="6"/>
            <w:tcBorders>
              <w:top w:val="single" w:color="auto" w:sz="4" w:space="0"/>
              <w:left w:val="single" w:color="auto" w:sz="4" w:space="0"/>
              <w:bottom w:val="single" w:color="auto" w:sz="4" w:space="0"/>
              <w:right w:val="single" w:color="auto" w:sz="4" w:space="0"/>
            </w:tcBorders>
          </w:tcPr>
          <w:p>
            <w:pPr>
              <w:widowControl/>
              <w:numPr>
                <w:ilvl w:val="0"/>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模型以验证其正确性。</w:t>
            </w:r>
          </w:p>
          <w:p>
            <w:pPr>
              <w:widowControl/>
              <w:numPr>
                <w:ilvl w:val="0"/>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因此，从KRR的角度探索模型检测下的SNC和WSC的计算是重要的。这不仅提供了计算反应式系统定义在某个符号集上的SNC和WSC的方法，还架起了形式化验证与KRR之间的桥梁。这在理论和实践上都是一项有意义的工作。</w:t>
            </w:r>
          </w:p>
          <w:p>
            <w:pPr>
              <w:widowControl/>
              <w:numPr>
                <w:ilvl w:val="0"/>
                <w:numId w:val="0"/>
              </w:numPr>
              <w:spacing w:before="100" w:beforeAutospacing="1" w:after="100" w:afterAutospacing="1" w:line="180" w:lineRule="atLeast"/>
              <w:jc w:val="left"/>
              <w:rPr>
                <w:rFonts w:hint="eastAsia"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本文从遗忘理论的角度出发，拟研究反应式系统的SNC和WSC的计算，从而为计算不终止类系统下的定义在某个符号集上的SNC和WSC提供了新的方法，架起形式化验证与KRR之间的桥梁。特别地，本文将规范的描述语言限制到CTL和μ-演算下。其主要研究内容集中在以下几个方面</w:t>
            </w:r>
            <w:r>
              <w:rPr>
                <w:rFonts w:hint="eastAsia" w:ascii="宋体" w:hAnsi="宋体" w:eastAsia="宋体" w:cs="宋体"/>
                <w:color w:val="404040"/>
                <w:kern w:val="0"/>
                <w:sz w:val="24"/>
                <w:szCs w:val="24"/>
                <w:lang w:val="en-US" w:eastAsia="zh-CN"/>
              </w:rPr>
              <w:t>:</w:t>
            </w:r>
          </w:p>
          <w:p>
            <w:pPr>
              <w:widowControl/>
              <w:numPr>
                <w:ilvl w:val="0"/>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（1）</w:t>
            </w:r>
            <w:r>
              <w:rPr>
                <w:rFonts w:hint="default" w:ascii="宋体" w:hAnsi="宋体" w:eastAsia="宋体" w:cs="宋体"/>
                <w:color w:val="404040"/>
                <w:kern w:val="0"/>
                <w:sz w:val="24"/>
                <w:szCs w:val="24"/>
                <w:lang w:val="en-US" w:eastAsia="zh-CN"/>
              </w:rPr>
              <w:t>CTL和μ-演算的遗忘理论</w:t>
            </w:r>
          </w:p>
          <w:p>
            <w:pPr>
              <w:widowControl/>
              <w:numPr>
                <w:ilvl w:val="0"/>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本文将研究CTL中遗忘理论的方法和性质，特别是其遗忘结果的存在性、复杂性等等，为探索用遗忘理论计算SNC和WSC提供理论基础。具体说来，遗忘理论具有削弱(Weakening，(W))、正维持（Positive Persistence，(PP)）、负维持（Negative Persistence，(NP)）、无关性（Irrelevance，(IR)）等基本性质。本文将探索CTL和μ-演算的遗忘理论的以上性质，并探讨其与存在性之间的关系。此外，本文将深入研究 CTL和μ-演算 遗忘理论的基本准则、发现计算 CTL和μ-演算遗忘结果的算法以及探讨CTL和μ-演算子类与遗忘相关问题的计算复杂度，为研究计算SNC和WSC的性质、算法以及基本准则等作好铺垫。</w:t>
            </w:r>
          </w:p>
          <w:p>
            <w:pPr>
              <w:widowControl/>
              <w:numPr>
                <w:ilvl w:val="0"/>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计算复杂性理论致力于将可计算问题根据它们本身的复杂性分类。研究表明，在经典命题逻辑中：CNF（Conjunctive normal form）公式的遗忘的推理问题最难是Π_2^P-完全的，DNF（Disjunctive normal form）公式的遗忘的推理问题是co-NP-完全的；在模态逻辑S5中，遗忘的模型检测问题是NP-完全的，对应的推理问题是Π_2^P-完全的。基于此，本文拟研究CTL和𝝁-演算的遗忘在模型检测和推理问题上的复杂性。</w:t>
            </w:r>
          </w:p>
          <w:p>
            <w:pPr>
              <w:widowControl/>
              <w:numPr>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eastAsia" w:ascii="宋体" w:hAnsi="宋体" w:eastAsia="宋体" w:cs="宋体"/>
                <w:color w:val="404040"/>
                <w:kern w:val="0"/>
                <w:sz w:val="24"/>
                <w:szCs w:val="24"/>
                <w:lang w:val="en-US" w:eastAsia="zh-CN"/>
              </w:rPr>
              <w:t>（2）</w:t>
            </w:r>
            <w:r>
              <w:rPr>
                <w:rFonts w:hint="default" w:ascii="宋体" w:hAnsi="宋体" w:eastAsia="宋体" w:cs="宋体"/>
                <w:color w:val="404040"/>
                <w:kern w:val="0"/>
                <w:sz w:val="24"/>
                <w:szCs w:val="24"/>
                <w:lang w:val="en-US" w:eastAsia="zh-CN"/>
              </w:rPr>
              <w:t>CTL和μ-演算的遗忘理论的算法的研究及实现</w:t>
            </w:r>
          </w:p>
          <w:p>
            <w:pPr>
              <w:widowControl/>
              <w:numPr>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基于上述研究结果，我们拟分别设计并实现一个计算CTL和μ-演算遗忘结果的原型系统，并从实验角度研究其计算代价以启发快速的计算遗忘结果的算法。尽管经典命题逻辑、模态逻辑和一些描述逻辑都有对应的计算遗忘结果的算法和实现，但是CTL中引入了多种时态连接词，μ-演算中引入了不动点操作，如能找到类似于前面所说的那些逻辑中采用的计算方法，将会为CTL和μ-演算的遗忘理论找到牢固的立足点。</w:t>
            </w:r>
          </w:p>
          <w:p>
            <w:pPr>
              <w:widowControl/>
              <w:numPr>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CTL不具有均匀插值性质[28]，即：不存在一个算法使得对于任意的CTL公式，其遗忘掉任意原子命题的集合得到的结果仍然是CTL公式。在这种情况下，本文将研究CTL子类的遗忘理论，特别是能保证其遗忘结果仍然是CTL可表达的子类，这些问题非常关键且具有挑战性。</w:t>
            </w:r>
          </w:p>
          <w:p>
            <w:pPr>
              <w:widowControl/>
              <w:numPr>
                <w:numId w:val="0"/>
              </w:numPr>
              <w:spacing w:before="100" w:beforeAutospacing="1" w:after="100" w:afterAutospacing="1" w:line="180" w:lineRule="atLeast"/>
              <w:jc w:val="left"/>
              <w:rPr>
                <w:rFonts w:hint="default" w:ascii="宋体" w:hAnsi="宋体" w:eastAsia="宋体" w:cs="宋体"/>
                <w:color w:val="404040"/>
                <w:kern w:val="0"/>
                <w:sz w:val="24"/>
                <w:szCs w:val="24"/>
                <w:lang w:val="en-US" w:eastAsia="zh-CN"/>
              </w:rPr>
            </w:pPr>
            <w:r>
              <w:rPr>
                <w:rFonts w:hint="default" w:ascii="宋体" w:hAnsi="宋体" w:eastAsia="宋体" w:cs="宋体"/>
                <w:color w:val="404040"/>
                <w:kern w:val="0"/>
                <w:sz w:val="24"/>
                <w:szCs w:val="24"/>
                <w:lang w:val="en-US" w:eastAsia="zh-CN"/>
              </w:rPr>
              <w:t>与CTL不同，μ-演算虽然表达能力比CTL强，其可满足性问题也比CTL的复杂，但是μ-演算具有均匀插值性质[51]。这意味着对于在任意的μ-演算句子中遗忘掉任意的原子命题的集合得到的结果仍然是μ-演算公式。此时，探索μ-演算遗忘理论及相关性质显得很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2" w:hRule="atLeast"/>
          <w:jc w:val="center"/>
        </w:trPr>
        <w:tc>
          <w:tcPr>
            <w:tcW w:w="8558" w:type="dxa"/>
            <w:gridSpan w:val="6"/>
            <w:tcBorders>
              <w:top w:val="nil"/>
              <w:left w:val="single" w:color="auto" w:sz="4" w:space="0"/>
              <w:bottom w:val="single" w:color="auto" w:sz="4" w:space="0"/>
              <w:right w:val="nil"/>
            </w:tcBorders>
            <w:vAlign w:val="center"/>
          </w:tcPr>
          <w:p>
            <w:pPr>
              <w:widowControl/>
              <w:numPr>
                <w:numId w:val="0"/>
              </w:numPr>
              <w:spacing w:before="100" w:beforeAutospacing="1" w:after="100" w:afterAutospacing="1" w:line="180" w:lineRule="atLeast"/>
              <w:jc w:val="left"/>
              <w:rPr>
                <w:rFonts w:ascii="Verdana" w:hAnsi="Verdana" w:eastAsia="宋体" w:cs="宋体"/>
                <w:color w:val="404040"/>
                <w:kern w:val="0"/>
                <w:sz w:val="11"/>
                <w:szCs w:val="11"/>
              </w:rPr>
            </w:pPr>
            <w:r>
              <w:rPr>
                <w:rFonts w:hint="eastAsia" w:ascii="宋体" w:hAnsi="宋体" w:eastAsia="宋体" w:cs="宋体"/>
                <w:color w:val="404040"/>
                <w:kern w:val="0"/>
                <w:sz w:val="24"/>
                <w:szCs w:val="24"/>
                <w:lang w:val="en-US" w:eastAsia="zh-CN"/>
              </w:rPr>
              <w:t>（3）</w:t>
            </w:r>
            <w:r>
              <w:rPr>
                <w:rFonts w:hint="default" w:ascii="宋体" w:hAnsi="宋体" w:eastAsia="宋体" w:cs="宋体"/>
                <w:color w:val="404040"/>
                <w:kern w:val="0"/>
                <w:sz w:val="24"/>
                <w:szCs w:val="24"/>
                <w:lang w:val="en-US" w:eastAsia="zh-CN"/>
              </w:rPr>
              <w:t>结合反应式系统的模型检测中的实例探索SNC和WSC的具体应用。在形式化验证中，SNC和WSC通常用于验证代码段的正确性，也用于负例生成和系统精化。本文拟探讨使用遗忘理论求解反应式系统的SNC和WSC，再结合具体实例探索SNC和WSC在负例生成和系统精化上的应用。在经典命题逻辑和一阶逻辑中，遗忘理论与SNC和WSC的关系分别已经被Lin和Doherty等人分别提出[22,23]。特别地，经典命题逻辑中的SNC和WSC被用于规划问题中的后继状态公理的计算。这里所说的SNC和WSC都是在给定的命题公式或一阶公式下的，当给定一个反应式系统（Kripke structure）时，如何使用上述所说的CTL和μ-演算的遗忘理论计算SNC和WSC是本课题的一个关键问题。</w:t>
            </w:r>
          </w:p>
        </w:tc>
      </w:tr>
    </w:tbl>
    <w:p>
      <w:pPr>
        <w:widowControl/>
        <w:snapToGrid w:val="0"/>
        <w:spacing w:before="100" w:beforeAutospacing="1" w:after="100" w:afterAutospacing="1"/>
        <w:jc w:val="left"/>
        <w:rPr>
          <w:rFonts w:ascii="宋体" w:hAnsi="宋体" w:eastAsia="宋体" w:cs="宋体"/>
          <w:color w:val="404040"/>
          <w:kern w:val="0"/>
          <w:sz w:val="24"/>
          <w:szCs w:val="24"/>
        </w:rPr>
      </w:pPr>
      <w:r>
        <w:rPr>
          <w:rFonts w:ascii="Times New Roman" w:hAnsi="Times New Roman" w:eastAsia="宋体" w:cs="Times New Roman"/>
          <w:color w:val="404040"/>
          <w:szCs w:val="24"/>
        </w:rPr>
        <w:br w:type="page"/>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103" w:hRule="atLeast"/>
          <w:jc w:val="center"/>
        </w:trPr>
        <w:tc>
          <w:tcPr>
            <w:tcW w:w="852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180" w:lineRule="atLeast"/>
              <w:jc w:val="left"/>
              <w:rPr>
                <w:rFonts w:ascii="宋体" w:hAnsi="宋体" w:eastAsia="宋体" w:cs="宋体"/>
                <w:color w:val="404040"/>
                <w:kern w:val="0"/>
                <w:sz w:val="24"/>
                <w:szCs w:val="24"/>
              </w:rPr>
            </w:pPr>
            <w:bookmarkStart w:id="1" w:name="OLE_LINK1"/>
            <w:r>
              <w:rPr>
                <w:rFonts w:hint="eastAsia" w:ascii="Times New Roman" w:hAnsi="Times New Roman" w:eastAsia="宋体" w:cs="宋体"/>
                <w:b/>
                <w:bCs/>
                <w:color w:val="404040"/>
                <w:kern w:val="0"/>
                <w:sz w:val="28"/>
                <w:szCs w:val="24"/>
              </w:rPr>
              <w:t>主持学术活动专家评语</w:t>
            </w:r>
            <w:r>
              <w:rPr>
                <w:rFonts w:ascii="宋体" w:hAnsi="宋体" w:eastAsia="宋体" w:cs="宋体"/>
                <w:b/>
                <w:bCs/>
                <w:color w:val="404040"/>
                <w:kern w:val="0"/>
                <w:sz w:val="28"/>
                <w:szCs w:val="24"/>
              </w:rPr>
              <w:t>(</w:t>
            </w:r>
            <w:r>
              <w:rPr>
                <w:rFonts w:hint="eastAsia" w:ascii="Times New Roman" w:hAnsi="Times New Roman" w:eastAsia="宋体" w:cs="宋体"/>
                <w:b/>
                <w:bCs/>
                <w:color w:val="404040"/>
                <w:kern w:val="0"/>
                <w:sz w:val="28"/>
                <w:szCs w:val="24"/>
              </w:rPr>
              <w:t>参加省级以上会议的由会议组织者提供证明论文进行公开学术交流</w:t>
            </w:r>
            <w:r>
              <w:rPr>
                <w:rFonts w:ascii="宋体" w:hAnsi="宋体" w:eastAsia="宋体" w:cs="宋体"/>
                <w:b/>
                <w:bCs/>
                <w:color w:val="404040"/>
                <w:kern w:val="0"/>
                <w:sz w:val="28"/>
                <w:szCs w:val="24"/>
              </w:rPr>
              <w:t>)</w:t>
            </w: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jc w:val="left"/>
              <w:rPr>
                <w:rFonts w:ascii="宋体" w:hAnsi="宋体" w:eastAsia="宋体" w:cs="宋体"/>
                <w:color w:val="404040"/>
                <w:kern w:val="0"/>
                <w:sz w:val="24"/>
                <w:szCs w:val="24"/>
              </w:rPr>
            </w:pPr>
          </w:p>
          <w:p>
            <w:pPr>
              <w:widowControl/>
              <w:spacing w:before="100" w:beforeAutospacing="1" w:after="100" w:afterAutospacing="1" w:line="180" w:lineRule="atLeast"/>
              <w:ind w:firstLine="1800" w:firstLineChars="7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专家组或会议秘书组签</w:t>
            </w:r>
            <w:r>
              <w:rPr>
                <w:rFonts w:ascii="宋体" w:hAnsi="宋体" w:eastAsia="宋体" w:cs="宋体"/>
                <w:color w:val="404040"/>
                <w:kern w:val="0"/>
                <w:sz w:val="24"/>
                <w:szCs w:val="24"/>
              </w:rPr>
              <w:t>(</w:t>
            </w:r>
            <w:r>
              <w:rPr>
                <w:rFonts w:hint="eastAsia" w:ascii="Times New Roman" w:hAnsi="Times New Roman" w:eastAsia="宋体" w:cs="宋体"/>
                <w:color w:val="404040"/>
                <w:kern w:val="0"/>
                <w:sz w:val="24"/>
                <w:szCs w:val="24"/>
              </w:rPr>
              <w:t>章</w:t>
            </w:r>
            <w:r>
              <w:rPr>
                <w:rFonts w:ascii="宋体" w:hAnsi="宋体" w:eastAsia="宋体" w:cs="宋体"/>
                <w:color w:val="404040"/>
                <w:kern w:val="0"/>
                <w:sz w:val="24"/>
                <w:szCs w:val="24"/>
              </w:rPr>
              <w:t>)</w:t>
            </w:r>
            <w:r>
              <w:rPr>
                <w:rFonts w:hint="eastAsia" w:ascii="Times New Roman" w:hAnsi="Times New Roman" w:eastAsia="宋体" w:cs="宋体"/>
                <w:color w:val="404040"/>
                <w:kern w:val="0"/>
                <w:sz w:val="24"/>
                <w:szCs w:val="24"/>
              </w:rPr>
              <w:t>：</w:t>
            </w:r>
          </w:p>
          <w:p>
            <w:pPr>
              <w:widowControl/>
              <w:spacing w:before="100" w:beforeAutospacing="1" w:after="100" w:afterAutospacing="1" w:line="180" w:lineRule="atLeast"/>
              <w:ind w:firstLine="1800" w:firstLineChars="750"/>
              <w:jc w:val="left"/>
              <w:rPr>
                <w:rFonts w:ascii="宋体" w:hAnsi="宋体" w:eastAsia="宋体" w:cs="宋体"/>
                <w:color w:val="404040"/>
                <w:kern w:val="0"/>
                <w:sz w:val="24"/>
                <w:szCs w:val="24"/>
              </w:rPr>
            </w:pPr>
            <w:r>
              <w:rPr>
                <w:rFonts w:ascii="宋体" w:hAnsi="宋体" w:eastAsia="宋体" w:cs="宋体"/>
                <w:color w:val="404040"/>
                <w:kern w:val="0"/>
                <w:sz w:val="24"/>
                <w:szCs w:val="24"/>
              </w:rPr>
              <w:t>(</w:t>
            </w:r>
            <w:r>
              <w:rPr>
                <w:rFonts w:hint="eastAsia" w:ascii="Times New Roman" w:hAnsi="Times New Roman" w:eastAsia="宋体" w:cs="宋体"/>
                <w:color w:val="404040"/>
                <w:kern w:val="0"/>
                <w:sz w:val="24"/>
                <w:szCs w:val="24"/>
              </w:rPr>
              <w:t>至少</w:t>
            </w:r>
            <w:r>
              <w:rPr>
                <w:rFonts w:ascii="宋体" w:hAnsi="宋体" w:eastAsia="宋体" w:cs="宋体"/>
                <w:color w:val="404040"/>
                <w:kern w:val="0"/>
                <w:sz w:val="24"/>
                <w:szCs w:val="24"/>
              </w:rPr>
              <w:t>3</w:t>
            </w:r>
            <w:r>
              <w:rPr>
                <w:rFonts w:hint="eastAsia" w:ascii="Times New Roman" w:hAnsi="Times New Roman" w:eastAsia="宋体" w:cs="宋体"/>
                <w:color w:val="404040"/>
                <w:kern w:val="0"/>
                <w:sz w:val="24"/>
                <w:szCs w:val="24"/>
              </w:rPr>
              <w:t>人以上签字方可</w:t>
            </w:r>
            <w:r>
              <w:rPr>
                <w:rFonts w:ascii="宋体" w:hAnsi="宋体" w:eastAsia="宋体" w:cs="宋体"/>
                <w:color w:val="404040"/>
                <w:kern w:val="0"/>
                <w:sz w:val="24"/>
                <w:szCs w:val="24"/>
              </w:rPr>
              <w:t>)</w:t>
            </w:r>
          </w:p>
          <w:p>
            <w:pPr>
              <w:widowControl/>
              <w:spacing w:before="100" w:beforeAutospacing="1" w:after="100" w:afterAutospacing="1" w:line="180" w:lineRule="atLeast"/>
              <w:ind w:firstLine="5880" w:firstLineChars="2450"/>
              <w:jc w:val="left"/>
              <w:rPr>
                <w:rFonts w:ascii="宋体" w:hAnsi="宋体" w:eastAsia="宋体" w:cs="宋体"/>
                <w:color w:val="404040"/>
                <w:kern w:val="0"/>
                <w:sz w:val="24"/>
                <w:szCs w:val="24"/>
              </w:rPr>
            </w:pPr>
            <w:r>
              <w:rPr>
                <w:rFonts w:hint="eastAsia" w:ascii="Times New Roman" w:hAnsi="Times New Roman" w:eastAsia="宋体" w:cs="宋体"/>
                <w:color w:val="404040"/>
                <w:kern w:val="0"/>
                <w:sz w:val="24"/>
                <w:szCs w:val="24"/>
              </w:rPr>
              <w:t>年</w:t>
            </w:r>
            <w:r>
              <w:rPr>
                <w:rFonts w:ascii="宋体" w:hAnsi="宋体" w:eastAsia="宋体" w:cs="宋体"/>
                <w:color w:val="404040"/>
                <w:kern w:val="0"/>
                <w:sz w:val="24"/>
                <w:szCs w:val="24"/>
              </w:rPr>
              <w:t xml:space="preserve"> </w:t>
            </w:r>
            <w:r>
              <w:rPr>
                <w:rFonts w:hint="eastAsia" w:ascii="宋体" w:hAnsi="宋体" w:eastAsia="宋体" w:cs="宋体"/>
                <w:color w:val="404040"/>
                <w:kern w:val="0"/>
                <w:sz w:val="24"/>
                <w:szCs w:val="24"/>
              </w:rPr>
              <w:t xml:space="preserve">  </w:t>
            </w:r>
            <w:r>
              <w:rPr>
                <w:rFonts w:hint="eastAsia" w:ascii="Times New Roman" w:hAnsi="Times New Roman" w:eastAsia="宋体" w:cs="宋体"/>
                <w:color w:val="404040"/>
                <w:kern w:val="0"/>
                <w:sz w:val="24"/>
                <w:szCs w:val="24"/>
              </w:rPr>
              <w:t>月</w:t>
            </w:r>
            <w:r>
              <w:rPr>
                <w:rFonts w:ascii="宋体" w:hAnsi="宋体" w:eastAsia="宋体" w:cs="宋体"/>
                <w:color w:val="404040"/>
                <w:kern w:val="0"/>
                <w:sz w:val="24"/>
                <w:szCs w:val="24"/>
              </w:rPr>
              <w:t xml:space="preserve"> </w:t>
            </w:r>
            <w:r>
              <w:rPr>
                <w:rFonts w:hint="eastAsia" w:ascii="宋体" w:hAnsi="宋体" w:eastAsia="宋体" w:cs="宋体"/>
                <w:color w:val="404040"/>
                <w:kern w:val="0"/>
                <w:sz w:val="24"/>
                <w:szCs w:val="24"/>
              </w:rPr>
              <w:t xml:space="preserve">  </w:t>
            </w:r>
            <w:r>
              <w:rPr>
                <w:rFonts w:hint="eastAsia" w:ascii="Times New Roman" w:hAnsi="Times New Roman" w:eastAsia="宋体" w:cs="宋体"/>
                <w:color w:val="404040"/>
                <w:kern w:val="0"/>
                <w:sz w:val="24"/>
                <w:szCs w:val="24"/>
              </w:rPr>
              <w:t>日</w:t>
            </w:r>
          </w:p>
          <w:p>
            <w:pPr>
              <w:widowControl/>
              <w:spacing w:before="100" w:beforeAutospacing="1" w:after="100" w:afterAutospacing="1" w:line="180" w:lineRule="atLeast"/>
              <w:ind w:firstLine="7680" w:firstLineChars="3200"/>
              <w:jc w:val="left"/>
              <w:rPr>
                <w:rFonts w:ascii="宋体" w:hAnsi="宋体" w:eastAsia="宋体" w:cs="宋体"/>
                <w:color w:val="404040"/>
                <w:kern w:val="0"/>
                <w:sz w:val="24"/>
                <w:szCs w:val="24"/>
              </w:rPr>
            </w:pPr>
          </w:p>
        </w:tc>
      </w:tr>
      <w:bookmarkEnd w:id="1"/>
    </w:tbl>
    <w:p/>
    <w:sectPr>
      <w:pgSz w:w="11906" w:h="16838"/>
      <w:pgMar w:top="907"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auto"/>
    <w:pitch w:val="variable"/>
    <w:sig w:usb0="E00006FF" w:usb1="420024FF" w:usb2="02000000" w:usb3="00000000" w:csb0="2000019F" w:csb1="00000000"/>
  </w:font>
  <w:font w:name="楷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0EE9FE"/>
    <w:multiLevelType w:val="singleLevel"/>
    <w:tmpl w:val="520EE9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
  <w:rsids>
    <w:rsidRoot w:val="00066712"/>
    <w:rsid w:val="00066712"/>
    <w:rsid w:val="002001C7"/>
    <w:rsid w:val="002523C9"/>
    <w:rsid w:val="002B681A"/>
    <w:rsid w:val="003152F4"/>
    <w:rsid w:val="00480A29"/>
    <w:rsid w:val="004F78B8"/>
    <w:rsid w:val="005D3BCD"/>
    <w:rsid w:val="00601DC2"/>
    <w:rsid w:val="00683ADA"/>
    <w:rsid w:val="0074349B"/>
    <w:rsid w:val="00A87927"/>
    <w:rsid w:val="00AA6EDB"/>
    <w:rsid w:val="00B622D2"/>
    <w:rsid w:val="00C054C5"/>
    <w:rsid w:val="00C9333C"/>
    <w:rsid w:val="00CA09DD"/>
    <w:rsid w:val="00DC41A9"/>
    <w:rsid w:val="00F152BE"/>
    <w:rsid w:val="00FF5B95"/>
    <w:rsid w:val="04C71259"/>
    <w:rsid w:val="283917B1"/>
    <w:rsid w:val="2BC173D4"/>
    <w:rsid w:val="313A6212"/>
    <w:rsid w:val="4202418F"/>
    <w:rsid w:val="45E42963"/>
    <w:rsid w:val="49EC10BA"/>
    <w:rsid w:val="59DD76C4"/>
    <w:rsid w:val="5F832683"/>
    <w:rsid w:val="65F01422"/>
    <w:rsid w:val="725D5916"/>
    <w:rsid w:val="792720A9"/>
    <w:rsid w:val="79B374A2"/>
    <w:rsid w:val="7A2132A5"/>
    <w:rsid w:val="7ADD5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grame"/>
    <w:basedOn w:val="5"/>
    <w:uiPriority w:val="0"/>
  </w:style>
  <w:style w:type="character" w:customStyle="1" w:styleId="7">
    <w:name w:val="页眉 字符"/>
    <w:basedOn w:val="5"/>
    <w:link w:val="3"/>
    <w:semiHidden/>
    <w:qFormat/>
    <w:uiPriority w:val="99"/>
    <w:rPr>
      <w:sz w:val="18"/>
      <w:szCs w:val="18"/>
    </w:rPr>
  </w:style>
  <w:style w:type="character" w:customStyle="1" w:styleId="8">
    <w:name w:val="页脚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1583</Words>
  <Characters>1952</Characters>
  <Lines>1</Lines>
  <Paragraphs>1</Paragraphs>
  <TotalTime>2</TotalTime>
  <ScaleCrop>false</ScaleCrop>
  <LinksUpToDate>false</LinksUpToDate>
  <CharactersWithSpaces>1991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2016-09-28T03:26:00Z</dcterms:created>
  <dc:creator>Administrator</dc:creator>
  <cp:lastModifiedBy>renya</cp:lastModifiedBy>
  <dcterms:modified xsi:type="dcterms:W3CDTF">2022-04-09T01:54:33Z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533B8642852844A9B4E44DF6FEDEAF6A</vt:lpwstr>
  </property>
</Properties>
</file>