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宁波市教育科学规划课题活页评审表"/>
    <w:p>
      <w:pPr>
        <w:pStyle w:val="Heading1"/>
      </w:pPr>
      <w:r>
        <w:t xml:space="preserve">宁波市教育科学规划课题活页评审表</w:t>
      </w:r>
    </w:p>
    <w:p>
      <w:pPr>
        <w:pStyle w:val="FirstParagraph"/>
      </w:pPr>
      <w:r>
        <w:rPr>
          <w:bCs/>
          <w:b/>
        </w:rPr>
        <w:t xml:space="preserve">课题名称</w:t>
      </w:r>
      <w:r>
        <w:t xml:space="preserve">：关于教育行政处罚裁量基准及适用规则的研究</w:t>
      </w:r>
    </w:p>
    <w:p>
      <w:pPr>
        <w:pStyle w:val="BodyText"/>
      </w:pPr>
      <w:r>
        <w:rPr>
          <w:bCs/>
          <w:b/>
        </w:rPr>
        <w:t xml:space="preserve">预期成果形式</w:t>
      </w:r>
      <w:r>
        <w:t xml:space="preserve">：☑研究报告 ☑论文</w:t>
      </w:r>
    </w:p>
    <w:p>
      <w:pPr>
        <w:pStyle w:val="BodyText"/>
      </w:pPr>
      <w:r>
        <w:rPr>
          <w:bCs/>
          <w:b/>
        </w:rPr>
        <w:t xml:space="preserve">成果去向</w:t>
      </w:r>
      <w:r>
        <w:t xml:space="preserve">：☑公开发表 ☑提交相关部门应用</w:t>
      </w:r>
    </w:p>
    <w:p>
      <w:pPr>
        <w:pStyle w:val="BodyText"/>
      </w:pPr>
      <w:r>
        <w:rPr>
          <w:bCs/>
          <w:b/>
        </w:rPr>
        <w:t xml:space="preserve">字数</w:t>
      </w:r>
      <w:r>
        <w:t xml:space="preserve">：研究报告约 3 万字，论文 3-5 篇</w:t>
      </w:r>
    </w:p>
    <w:p>
      <w:pPr>
        <w:pStyle w:val="BodyText"/>
      </w:pPr>
      <w:r>
        <w:rPr>
          <w:bCs/>
          <w:b/>
        </w:rPr>
        <w:t xml:space="preserve">预计完成时间</w:t>
      </w:r>
      <w:r>
        <w:t xml:space="preserve">：2027 年 12 月</w:t>
      </w:r>
    </w:p>
    <w:p>
      <w:r>
        <w:pict>
          <v:rect style="width:0;height:1.5pt" o:hralign="center" o:hrstd="t" o:hr="t"/>
        </w:pict>
      </w:r>
    </w:p>
    <w:bookmarkStart w:id="22" w:name="一选题选题的意义和价值本课题国内外研究现状述评"/>
    <w:p>
      <w:pPr>
        <w:pStyle w:val="Heading2"/>
      </w:pPr>
      <w:r>
        <w:t xml:space="preserve">一、选题：选题的意义和价值，本课题国内外研究现状述评</w:t>
      </w:r>
    </w:p>
    <w:bookmarkStart w:id="20" w:name="一选题的意义和价值"/>
    <w:p>
      <w:pPr>
        <w:pStyle w:val="Heading3"/>
      </w:pPr>
      <w:r>
        <w:t xml:space="preserve">（一）选题的意义和价值</w:t>
      </w:r>
    </w:p>
    <w:p>
      <w:pPr>
        <w:pStyle w:val="FirstParagraph"/>
      </w:pPr>
      <w:r>
        <w:t xml:space="preserve">教育行政处罚裁量权的规范行使是依法治教的核心问题。当前教育领域行政处罚面临”同案不同罚”、裁量标准模糊、自由裁量权滥用等突出问题，严重影响教育行政执法的公信力和法治化水平。本课题聚焦教育行政处罚裁量基准的构建与适用规则的完善，具有重要的理论价值和实践意义。</w:t>
      </w:r>
    </w:p>
    <w:p>
      <w:pPr>
        <w:pStyle w:val="BodyText"/>
      </w:pPr>
      <w:r>
        <w:rPr>
          <w:bCs/>
          <w:b/>
        </w:rPr>
        <w:t xml:space="preserve">理论价值</w:t>
      </w:r>
      <w:r>
        <w:t xml:space="preserve">：行政裁量权是行政法学的经典难题，涉及法律确定性与灵活性的根本张力。教育行政处罚作为行政处罚的特殊领域，其裁量基准的构建需要在一般行政法原理与教育法特殊性之间寻求平衡。本课题将从法理学视角系统阐释裁量基准的规范属性、裁量权的边界划定、比例原则的具体适用等核心问题，为行政裁量理论提供教育领域的实证支撑。</w:t>
      </w:r>
    </w:p>
    <w:p>
      <w:pPr>
        <w:pStyle w:val="BodyText"/>
      </w:pPr>
      <w:r>
        <w:rPr>
          <w:bCs/>
          <w:b/>
        </w:rPr>
        <w:t xml:space="preserve">实践价值</w:t>
      </w:r>
      <w:r>
        <w:t xml:space="preserve">：宁波市作为全国首批法治政府建设示范市，在教育行政执法规范化方面走在前列。《宁波市学校安全条例》的实施对教育行政处罚提出了更高要求。本课题将为宁波市教育行政部门制定科学合理的裁量基准、完善执法程序、提升执法水平提供理论支撑和制度方案，对全国教育行政执法规范化具有示范意义。</w:t>
      </w:r>
    </w:p>
    <w:p>
      <w:pPr>
        <w:pStyle w:val="BodyText"/>
      </w:pPr>
      <w:r>
        <w:rPr>
          <w:bCs/>
          <w:b/>
        </w:rPr>
        <w:t xml:space="preserve">现实紧迫性</w:t>
      </w:r>
      <w:r>
        <w:t xml:space="preserve">：2021 年《教育行政处罚暂行实施办法》修订后，各地教育行政部门亟需建立配套的裁量基准体系。宁波市教育系统在校园安全、办学行为监管、教师违规处理等方面的执法实践中，迫切需要明确的裁量标准和适用规则，以避免执法风险、保障相对人合法权益。</w:t>
      </w:r>
    </w:p>
    <w:bookmarkEnd w:id="20"/>
    <w:bookmarkStart w:id="21" w:name="二国内外研究现状述评"/>
    <w:p>
      <w:pPr>
        <w:pStyle w:val="Heading3"/>
      </w:pPr>
      <w:r>
        <w:t xml:space="preserve">（二）国内外研究现状述评</w:t>
      </w:r>
    </w:p>
    <w:p>
      <w:pPr>
        <w:pStyle w:val="FirstParagraph"/>
      </w:pPr>
      <w:r>
        <w:rPr>
          <w:bCs/>
          <w:b/>
        </w:rPr>
        <w:t xml:space="preserve">1. 国外研究现状</w:t>
      </w:r>
    </w:p>
    <w:p>
      <w:pPr>
        <w:pStyle w:val="BodyText"/>
      </w:pPr>
      <w:r>
        <w:t xml:space="preserve">西方国家对行政裁量权的研究起步较早，形成了较为成熟的理论体系。美国学者戴维斯（Kenneth Culp Davis）在《裁量正义》中系统论述了裁量权的结构化控制理论，提出通过规则、政策、先例等方式限制裁量权滥用。德国行政法学界以”不确定法律概念”理论为基础，发展出精细的裁量瑕疵理论，包括裁量怠惰、裁量逾越、裁量滥用等类型。英国学者盖洛根（Galligan）从程序正义角度强调裁量权行使的透明度和可预测性。</w:t>
      </w:r>
    </w:p>
    <w:p>
      <w:pPr>
        <w:pStyle w:val="BodyText"/>
      </w:pPr>
      <w:r>
        <w:t xml:space="preserve">在教育行政处罚领域，美国联邦教育部制定了详细的《学生纪律处分指南》，对停学、开除等处罚措施的适用条件、程序要求、裁量因素进行了明确规定。英国教育标准局（Ofsted）建立了学校违规行为分级处理机制，将处罚裁量与风险评估、改进计划相结合。这些实践为我国教育行政处罚裁量基准的构建提供了有益借鉴。</w:t>
      </w:r>
    </w:p>
    <w:p>
      <w:pPr>
        <w:pStyle w:val="BodyText"/>
      </w:pPr>
      <w:r>
        <w:rPr>
          <w:bCs/>
          <w:b/>
        </w:rPr>
        <w:t xml:space="preserve">2. 国内研究现状</w:t>
      </w:r>
    </w:p>
    <w:p>
      <w:pPr>
        <w:pStyle w:val="BodyText"/>
      </w:pPr>
      <w:r>
        <w:t xml:space="preserve">我国行政裁量权研究始于 20 世纪 90 年代，经历了从”限制裁量”到”规范裁量”的理论转向。姜明安教授提出行政裁量基准是”行政机关在法定裁量权限范围内，对裁量因素、裁量幅度、裁量方式等作出的细化规定”，为裁量基准的法律定位奠定了基础。应松年教授强调裁量基准应遵循比例原则、平等原则、信赖保护原则等行政法基本原则。章剑生教授从规范属性角度分析了裁量基准的”准立法”性质及其司法审查标准。</w:t>
      </w:r>
    </w:p>
    <w:p>
      <w:pPr>
        <w:pStyle w:val="BodyText"/>
      </w:pPr>
      <w:r>
        <w:t xml:space="preserve">在教育行政处罚领域，现有研究主要集中在以下方面：</w:t>
      </w:r>
    </w:p>
    <w:p>
      <w:pPr>
        <w:pStyle w:val="BodyText"/>
      </w:pPr>
      <w:r>
        <w:t xml:space="preserve">（1）</w:t>
      </w:r>
      <w:r>
        <w:rPr>
          <w:bCs/>
          <w:b/>
        </w:rPr>
        <w:t xml:space="preserve">处罚种类与适用</w:t>
      </w:r>
      <w:r>
        <w:t xml:space="preserve">：学者对警告、罚款、责令停止招生、吊销办学许可证等处罚种类的适用条件进行了梳理，但对裁量幅度的量化标准研究不足。</w:t>
      </w:r>
    </w:p>
    <w:p>
      <w:pPr>
        <w:pStyle w:val="BodyText"/>
      </w:pPr>
      <w:r>
        <w:t xml:space="preserve">（2）</w:t>
      </w:r>
      <w:r>
        <w:rPr>
          <w:bCs/>
          <w:b/>
        </w:rPr>
        <w:t xml:space="preserve">程序规范</w:t>
      </w:r>
      <w:r>
        <w:t xml:space="preserve">：对教育行政处罚的立案、调查、听证、决定等程序环节有较多讨论，但程序与裁量的互动关系研究薄弱。</w:t>
      </w:r>
    </w:p>
    <w:p>
      <w:pPr>
        <w:pStyle w:val="BodyText"/>
      </w:pPr>
      <w:r>
        <w:t xml:space="preserve">（3）</w:t>
      </w:r>
      <w:r>
        <w:rPr>
          <w:bCs/>
          <w:b/>
        </w:rPr>
        <w:t xml:space="preserve">特殊问题</w:t>
      </w:r>
      <w:r>
        <w:t xml:space="preserve">：针对民办学校违规办学、教师违反职业道德、校外培训机构监管等具体问题的处罚标准有零散研究，缺乏系统的裁量基准框架。</w:t>
      </w:r>
    </w:p>
    <w:p>
      <w:pPr>
        <w:pStyle w:val="BodyText"/>
      </w:pPr>
      <w:r>
        <w:t xml:space="preserve">（4）</w:t>
      </w:r>
      <w:r>
        <w:rPr>
          <w:bCs/>
          <w:b/>
        </w:rPr>
        <w:t xml:space="preserve">地方实践</w:t>
      </w:r>
      <w:r>
        <w:t xml:space="preserve">：部分省市（如江苏、浙江）制定了教育行政处罚裁量基准，但理论总结和经验推广不够。</w:t>
      </w:r>
    </w:p>
    <w:p>
      <w:pPr>
        <w:pStyle w:val="BodyText"/>
      </w:pPr>
      <w:r>
        <w:rPr>
          <w:bCs/>
          <w:b/>
        </w:rPr>
        <w:t xml:space="preserve">3. 研究不足与本课题创新点</w:t>
      </w:r>
    </w:p>
    <w:p>
      <w:pPr>
        <w:pStyle w:val="BodyText"/>
      </w:pPr>
      <w:r>
        <w:t xml:space="preserve">现有研究存在以下不足：</w:t>
      </w:r>
    </w:p>
    <w:p>
      <w:pPr>
        <w:pStyle w:val="BodyText"/>
      </w:pPr>
      <w:r>
        <w:t xml:space="preserve">（1）</w:t>
      </w:r>
      <w:r>
        <w:rPr>
          <w:bCs/>
          <w:b/>
        </w:rPr>
        <w:t xml:space="preserve">理论深度不够</w:t>
      </w:r>
      <w:r>
        <w:t xml:space="preserve">：多数研究停留在制度描述层面，缺乏对裁量基准法理基础、规范属性、正当性来源的深入分析。</w:t>
      </w:r>
    </w:p>
    <w:p>
      <w:pPr>
        <w:pStyle w:val="BodyText"/>
      </w:pPr>
      <w:r>
        <w:t xml:space="preserve">（2）</w:t>
      </w:r>
      <w:r>
        <w:rPr>
          <w:bCs/>
          <w:b/>
        </w:rPr>
        <w:t xml:space="preserve">体系性欠缺</w:t>
      </w:r>
      <w:r>
        <w:t xml:space="preserve">：对教育行政处罚裁量基准的构成要素、制定程序、适用规则、监督机制缺乏整体性研究。</w:t>
      </w:r>
    </w:p>
    <w:p>
      <w:pPr>
        <w:pStyle w:val="BodyText"/>
      </w:pPr>
      <w:r>
        <w:t xml:space="preserve">（3）</w:t>
      </w:r>
      <w:r>
        <w:rPr>
          <w:bCs/>
          <w:b/>
        </w:rPr>
        <w:t xml:space="preserve">实证研究薄弱</w:t>
      </w:r>
      <w:r>
        <w:t xml:space="preserve">：对教育行政执法实践中的裁量问题缺乏系统调研和数据分析，理论与实践脱节。</w:t>
      </w:r>
    </w:p>
    <w:p>
      <w:pPr>
        <w:pStyle w:val="BodyText"/>
      </w:pPr>
      <w:r>
        <w:t xml:space="preserve">（4）</w:t>
      </w:r>
      <w:r>
        <w:rPr>
          <w:bCs/>
          <w:b/>
        </w:rPr>
        <w:t xml:space="preserve">比较研究不足</w:t>
      </w:r>
      <w:r>
        <w:t xml:space="preserve">：对国外教育行政处罚裁量制度的介绍多为碎片化，缺乏深入的比较法分析。</w:t>
      </w:r>
    </w:p>
    <w:p>
      <w:pPr>
        <w:pStyle w:val="BodyText"/>
      </w:pPr>
      <w:r>
        <w:t xml:space="preserve">本课题的创新点在于：</w:t>
      </w:r>
    </w:p>
    <w:p>
      <w:pPr>
        <w:pStyle w:val="BodyText"/>
      </w:pPr>
      <w:r>
        <w:t xml:space="preserve">（1）</w:t>
      </w:r>
      <w:r>
        <w:rPr>
          <w:bCs/>
          <w:b/>
        </w:rPr>
        <w:t xml:space="preserve">法理学视角的深化</w:t>
      </w:r>
      <w:r>
        <w:t xml:space="preserve">：从”规则-裁量”二元结构、法律确定性与灵活性的辩证关系、比例原则的教育领域适用等法理学基本问题出发，为裁量基准构建提供坚实的理论基础。</w:t>
      </w:r>
    </w:p>
    <w:p>
      <w:pPr>
        <w:pStyle w:val="BodyText"/>
      </w:pPr>
      <w:r>
        <w:t xml:space="preserve">（2）</w:t>
      </w:r>
      <w:r>
        <w:rPr>
          <w:bCs/>
          <w:b/>
        </w:rPr>
        <w:t xml:space="preserve">体系化研究</w:t>
      </w:r>
      <w:r>
        <w:t xml:space="preserve">：构建包括裁量基准的制定主体、制定程序、内容要素、适用规则、监督救济在内的完整制度体系。</w:t>
      </w:r>
    </w:p>
    <w:p>
      <w:pPr>
        <w:pStyle w:val="BodyText"/>
      </w:pPr>
      <w:r>
        <w:t xml:space="preserve">（3）</w:t>
      </w:r>
      <w:r>
        <w:rPr>
          <w:bCs/>
          <w:b/>
        </w:rPr>
        <w:t xml:space="preserve">实证与规范结合</w:t>
      </w:r>
      <w:r>
        <w:t xml:space="preserve">：以宁波市教育行政执法实践为样本，通过案例分析、数据统计、问卷调查等方法，揭示裁量实践中的真实问题，提出针对性的制度方案。</w:t>
      </w:r>
    </w:p>
    <w:p>
      <w:pPr>
        <w:pStyle w:val="BodyText"/>
      </w:pPr>
      <w:r>
        <w:t xml:space="preserve">（4）</w:t>
      </w:r>
      <w:r>
        <w:rPr>
          <w:bCs/>
          <w:b/>
        </w:rPr>
        <w:t xml:space="preserve">类型化研究</w:t>
      </w:r>
      <w:r>
        <w:t xml:space="preserve">：根据违法行为性质、主体类型、社会危害程度等因素，对教育行政处罚进行类型化分析，为不同类型处罚的裁量基准制定提供差异化方案。</w:t>
      </w:r>
    </w:p>
    <w:p>
      <w:r>
        <w:pict>
          <v:rect style="width:0;height:1.5pt" o:hralign="center" o:hrstd="t" o:hr="t"/>
        </w:pict>
      </w:r>
    </w:p>
    <w:bookmarkEnd w:id="21"/>
    <w:bookmarkEnd w:id="22"/>
    <w:bookmarkStart w:id="27" w:name="二内容本课题研究的基本思路主要内容研究方法和重点难点分析"/>
    <w:p>
      <w:pPr>
        <w:pStyle w:val="Heading2"/>
      </w:pPr>
      <w:r>
        <w:t xml:space="preserve">二、内容：本课题研究的基本思路、主要内容、研究方法和重点难点分析</w:t>
      </w:r>
    </w:p>
    <w:bookmarkStart w:id="23" w:name="一基本思路"/>
    <w:p>
      <w:pPr>
        <w:pStyle w:val="Heading3"/>
      </w:pPr>
      <w:r>
        <w:t xml:space="preserve">（一）基本思路</w:t>
      </w:r>
    </w:p>
    <w:p>
      <w:pPr>
        <w:pStyle w:val="FirstParagraph"/>
      </w:pPr>
      <w:r>
        <w:t xml:space="preserve">本课题采用”理论阐释—制度分析—实证调研—方案构建”的研究路径，以法理学和行政法学理论为基础，以宁波市教育行政执法实践为样本，系统研究教育行政处罚裁量基准的构建与适用问题。</w:t>
      </w:r>
    </w:p>
    <w:p>
      <w:pPr>
        <w:pStyle w:val="BodyText"/>
      </w:pPr>
      <w:r>
        <w:rPr>
          <w:bCs/>
          <w:b/>
        </w:rPr>
        <w:t xml:space="preserve">第一步</w:t>
      </w:r>
      <w:r>
        <w:t xml:space="preserve">：理论阐释。从法理学角度分析裁量权的本质、裁量基准的规范属性、裁量权与法治的关系，为后续研究奠定理论基础。</w:t>
      </w:r>
    </w:p>
    <w:p>
      <w:pPr>
        <w:pStyle w:val="BodyText"/>
      </w:pPr>
      <w:r>
        <w:rPr>
          <w:bCs/>
          <w:b/>
        </w:rPr>
        <w:t xml:space="preserve">第二步</w:t>
      </w:r>
      <w:r>
        <w:t xml:space="preserve">：制度分析。梳理我国教育行政处罚的法律规范体系，分析现行制度中裁量基准缺失或不完善的问题，借鉴国外相关制度经验。</w:t>
      </w:r>
    </w:p>
    <w:p>
      <w:pPr>
        <w:pStyle w:val="BodyText"/>
      </w:pPr>
      <w:r>
        <w:rPr>
          <w:bCs/>
          <w:b/>
        </w:rPr>
        <w:t xml:space="preserve">第三步</w:t>
      </w:r>
      <w:r>
        <w:t xml:space="preserve">：实证调研。以宁波市教育行政执法案例为样本，通过案例分析、访谈、问卷等方法，揭示裁量实践中的突出问题和执法需求。</w:t>
      </w:r>
    </w:p>
    <w:p>
      <w:pPr>
        <w:pStyle w:val="BodyText"/>
      </w:pPr>
      <w:r>
        <w:rPr>
          <w:bCs/>
          <w:b/>
        </w:rPr>
        <w:t xml:space="preserve">第四步</w:t>
      </w:r>
      <w:r>
        <w:t xml:space="preserve">：方案构建。在理论分析和实证研究基础上，提出教育行政处罚裁量基准的制定原则、内容框架、适用规则和配套机制，形成可操作的制度方案。</w:t>
      </w:r>
    </w:p>
    <w:bookmarkEnd w:id="23"/>
    <w:bookmarkStart w:id="24" w:name="二主要内容"/>
    <w:p>
      <w:pPr>
        <w:pStyle w:val="Heading3"/>
      </w:pPr>
      <w:r>
        <w:t xml:space="preserve">（二）主要内容</w:t>
      </w:r>
    </w:p>
    <w:p>
      <w:pPr>
        <w:pStyle w:val="FirstParagraph"/>
      </w:pPr>
      <w:r>
        <w:rPr>
          <w:bCs/>
          <w:b/>
        </w:rPr>
        <w:t xml:space="preserve">1. 教育行政处罚裁量权的法理基础</w:t>
      </w:r>
    </w:p>
    <w:p>
      <w:pPr>
        <w:pStyle w:val="BodyText"/>
      </w:pPr>
      <w:r>
        <w:t xml:space="preserve">（1）裁量权的概念界定与理论争议：法定裁量与自由裁量、裁量权与解释权的区分。</w:t>
      </w:r>
    </w:p>
    <w:p>
      <w:pPr>
        <w:pStyle w:val="BodyText"/>
      </w:pPr>
      <w:r>
        <w:t xml:space="preserve">（2）裁量基准的规范属性：行政规则、准立法行为还是行政指导？裁量基准的法律效力与司法审查标准。</w:t>
      </w:r>
    </w:p>
    <w:p>
      <w:pPr>
        <w:pStyle w:val="BodyText"/>
      </w:pPr>
      <w:r>
        <w:t xml:space="preserve">（3）裁量权的正当性基础：效率价值、个案正义、专业判断与民主正当性的平衡。</w:t>
      </w:r>
    </w:p>
    <w:p>
      <w:pPr>
        <w:pStyle w:val="BodyText"/>
      </w:pPr>
      <w:r>
        <w:t xml:space="preserve">（4）裁量权的法治控制：比例原则、平等原则、信赖保护原则在裁量权行使中的具体适用。</w:t>
      </w:r>
    </w:p>
    <w:p>
      <w:pPr>
        <w:pStyle w:val="BodyText"/>
      </w:pPr>
      <w:r>
        <w:rPr>
          <w:bCs/>
          <w:b/>
        </w:rPr>
        <w:t xml:space="preserve">2. 我国教育行政处罚裁量制度的现状与问题</w:t>
      </w:r>
    </w:p>
    <w:p>
      <w:pPr>
        <w:pStyle w:val="BodyText"/>
      </w:pPr>
      <w:r>
        <w:t xml:space="preserve">（1）法律规范体系梳理：《行政处罚法》《教育法》《教育行政处罚暂行实施办法》及相关法律法规中关于裁量权的规定。</w:t>
      </w:r>
    </w:p>
    <w:p>
      <w:pPr>
        <w:pStyle w:val="BodyText"/>
      </w:pPr>
      <w:r>
        <w:t xml:space="preserve">（2）地方实践考察：江苏、浙江、广东等省市教育行政处罚裁量基准的制定情况及实施效果。</w:t>
      </w:r>
    </w:p>
    <w:p>
      <w:pPr>
        <w:pStyle w:val="BodyText"/>
      </w:pPr>
      <w:r>
        <w:t xml:space="preserve">（3）突出问题分析：裁量标准模糊、</w:t>
      </w:r>
      <w:r>
        <w:t xml:space="preserve">“</w:t>
      </w:r>
      <w:r>
        <w:t xml:space="preserve">同案不同罚</w:t>
      </w:r>
      <w:r>
        <w:t xml:space="preserve">”</w:t>
      </w:r>
      <w:r>
        <w:t xml:space="preserve">、裁量权滥用、救济机制不健全等问题的表现形式和成因。</w:t>
      </w:r>
    </w:p>
    <w:p>
      <w:pPr>
        <w:pStyle w:val="BodyText"/>
      </w:pPr>
      <w:r>
        <w:t xml:space="preserve">（4）宁波市教育行政执法实践调研：通过案例分析、执法人员访谈、行政相对人问卷等方法，揭示宁波市教育行政处罚裁量的实际状况和执法需求。</w:t>
      </w:r>
    </w:p>
    <w:p>
      <w:pPr>
        <w:pStyle w:val="BodyText"/>
      </w:pPr>
      <w:r>
        <w:rPr>
          <w:bCs/>
          <w:b/>
        </w:rPr>
        <w:t xml:space="preserve">3. 教育行政处罚的类型化与裁量因素分析</w:t>
      </w:r>
    </w:p>
    <w:p>
      <w:pPr>
        <w:pStyle w:val="BodyText"/>
      </w:pPr>
      <w:r>
        <w:t xml:space="preserve">（1）违法行为类型化：根据违法主体（公办学校、民办学校、校外培训机构、教师、其他教育机构）、违法性质（办学行为违规、安全管理失职、财务违规、教师违反职业道德等）进行分类。</w:t>
      </w:r>
    </w:p>
    <w:p>
      <w:pPr>
        <w:pStyle w:val="BodyText"/>
      </w:pPr>
      <w:r>
        <w:t xml:space="preserve">（2）处罚种类与裁量幅度：警告、罚款、责令停止招生、吊销办学许可证等处罚种类的适用条件和裁量空间分析。</w:t>
      </w:r>
    </w:p>
    <w:p>
      <w:pPr>
        <w:pStyle w:val="BodyText"/>
      </w:pPr>
      <w:r>
        <w:t xml:space="preserve">（3）裁量因素识别：违法行为的主观过错、社会危害程度、持续时间、整改态度、前科记录、配合调查情况等因素对裁量的影响。</w:t>
      </w:r>
    </w:p>
    <w:p>
      <w:pPr>
        <w:pStyle w:val="BodyText"/>
      </w:pPr>
      <w:r>
        <w:t xml:space="preserve">（4）从重、从轻、减轻处罚情节：法定情节与酌定情节的区分，特殊情节的认定标准。</w:t>
      </w:r>
    </w:p>
    <w:p>
      <w:pPr>
        <w:pStyle w:val="BodyText"/>
      </w:pPr>
      <w:r>
        <w:rPr>
          <w:bCs/>
          <w:b/>
        </w:rPr>
        <w:t xml:space="preserve">4. 教育行政处罚裁量基准的构建</w:t>
      </w:r>
    </w:p>
    <w:p>
      <w:pPr>
        <w:pStyle w:val="BodyText"/>
      </w:pPr>
      <w:r>
        <w:t xml:space="preserve">（1）制定主体与程序：教育行政部门的权限范围、专家论证、公众参与、合法性审查等程序要求。</w:t>
      </w:r>
    </w:p>
    <w:p>
      <w:pPr>
        <w:pStyle w:val="BodyText"/>
      </w:pPr>
      <w:r>
        <w:t xml:space="preserve">（2）内容要素：违法行为描述、法律依据、裁量阶次（轻微、一般、严重、特别严重）、基准罚则、调节因素、特殊情形处理等。</w:t>
      </w:r>
    </w:p>
    <w:p>
      <w:pPr>
        <w:pStyle w:val="BodyText"/>
      </w:pPr>
      <w:r>
        <w:t xml:space="preserve">（3）量化标准设计：罚款数额的计算方法、处罚幅度的划分依据、多个违法行为的并罚规则。</w:t>
      </w:r>
    </w:p>
    <w:p>
      <w:pPr>
        <w:pStyle w:val="BodyText"/>
      </w:pPr>
      <w:r>
        <w:t xml:space="preserve">（4）类型化裁量基准：针对民办学校违规办学、校外培训机构超范围经营、教师违反职业道德等典型违法行为，制定具体的裁量基准示例。</w:t>
      </w:r>
    </w:p>
    <w:p>
      <w:pPr>
        <w:pStyle w:val="BodyText"/>
      </w:pPr>
      <w:r>
        <w:rPr>
          <w:bCs/>
          <w:b/>
        </w:rPr>
        <w:t xml:space="preserve">5. 教育行政处罚裁量基准的适用规则</w:t>
      </w:r>
    </w:p>
    <w:p>
      <w:pPr>
        <w:pStyle w:val="BodyText"/>
      </w:pPr>
      <w:r>
        <w:t xml:space="preserve">（1）适用原则：合法性原则、合理性原则、比例原则、平等原则、信赖保护原则。</w:t>
      </w:r>
    </w:p>
    <w:p>
      <w:pPr>
        <w:pStyle w:val="BodyText"/>
      </w:pPr>
      <w:r>
        <w:t xml:space="preserve">（2）适用程序：裁量基准的援引、裁量理由的说明、特殊情形的偏离及其正当化论证。</w:t>
      </w:r>
    </w:p>
    <w:p>
      <w:pPr>
        <w:pStyle w:val="BodyText"/>
      </w:pPr>
      <w:r>
        <w:t xml:space="preserve">（3）裁量基准与个案裁量的关系：裁量基准的约束力、个案裁量的空间、偏离裁量基准的条件和程序。</w:t>
      </w:r>
    </w:p>
    <w:p>
      <w:pPr>
        <w:pStyle w:val="BodyText"/>
      </w:pPr>
      <w:r>
        <w:t xml:space="preserve">（4）裁量基准的动态调整：定期评估、修订程序、新类型案件的处理。</w:t>
      </w:r>
    </w:p>
    <w:p>
      <w:pPr>
        <w:pStyle w:val="BodyText"/>
      </w:pPr>
      <w:r>
        <w:rPr>
          <w:bCs/>
          <w:b/>
        </w:rPr>
        <w:t xml:space="preserve">6. 教育行政处罚裁量的监督与救济</w:t>
      </w:r>
    </w:p>
    <w:p>
      <w:pPr>
        <w:pStyle w:val="BodyText"/>
      </w:pPr>
      <w:r>
        <w:t xml:space="preserve">（1）内部监督：上级监督、执法监督、案卷评查、裁量文书说理等。</w:t>
      </w:r>
    </w:p>
    <w:p>
      <w:pPr>
        <w:pStyle w:val="BodyText"/>
      </w:pPr>
      <w:r>
        <w:t xml:space="preserve">（2）外部监督：人大监督、司法审查、社会监督、媒体监督。</w:t>
      </w:r>
    </w:p>
    <w:p>
      <w:pPr>
        <w:pStyle w:val="BodyText"/>
      </w:pPr>
      <w:r>
        <w:t xml:space="preserve">（3）救济机制：行政复议、行政诉讼中对裁量权的审查标准，裁量瑕疵的法律后果。</w:t>
      </w:r>
    </w:p>
    <w:p>
      <w:pPr>
        <w:pStyle w:val="BodyText"/>
      </w:pPr>
      <w:r>
        <w:t xml:space="preserve">（4）责任追究：执法人员违反裁量基准的责任形式、问责程序。</w:t>
      </w:r>
    </w:p>
    <w:p>
      <w:pPr>
        <w:pStyle w:val="BodyText"/>
      </w:pPr>
      <w:r>
        <w:rPr>
          <w:bCs/>
          <w:b/>
        </w:rPr>
        <w:t xml:space="preserve">7. 国外教育行政处罚裁量制度的比较与借鉴</w:t>
      </w:r>
    </w:p>
    <w:p>
      <w:pPr>
        <w:pStyle w:val="BodyText"/>
      </w:pPr>
      <w:r>
        <w:t xml:space="preserve">（1）美国：联邦教育部的处罚指南、州教育部门的裁量标准、正当程序保障。</w:t>
      </w:r>
    </w:p>
    <w:p>
      <w:pPr>
        <w:pStyle w:val="BodyText"/>
      </w:pPr>
      <w:r>
        <w:t xml:space="preserve">（2）德国：教育行政处罚的法律保留原则、裁量瑕疵理论、行政法院的审查标准。</w:t>
      </w:r>
    </w:p>
    <w:p>
      <w:pPr>
        <w:pStyle w:val="BodyText"/>
      </w:pPr>
      <w:r>
        <w:t xml:space="preserve">（3）英国：教育标准局的监管模式、风险分级管理、改进计划与处罚的结合。</w:t>
      </w:r>
    </w:p>
    <w:p>
      <w:pPr>
        <w:pStyle w:val="BodyText"/>
      </w:pPr>
      <w:r>
        <w:t xml:space="preserve">（4）日本：教育行政指导与行政处罚的关系、裁量基准的公开与透明。</w:t>
      </w:r>
    </w:p>
    <w:bookmarkEnd w:id="24"/>
    <w:bookmarkStart w:id="25" w:name="三研究方法"/>
    <w:p>
      <w:pPr>
        <w:pStyle w:val="Heading3"/>
      </w:pPr>
      <w:r>
        <w:t xml:space="preserve">（三）研究方法</w:t>
      </w:r>
    </w:p>
    <w:p>
      <w:pPr>
        <w:pStyle w:val="FirstParagraph"/>
      </w:pPr>
      <w:r>
        <w:rPr>
          <w:bCs/>
          <w:b/>
        </w:rPr>
        <w:t xml:space="preserve">1. 文献研究法</w:t>
      </w:r>
    </w:p>
    <w:p>
      <w:pPr>
        <w:pStyle w:val="BodyText"/>
      </w:pPr>
      <w:r>
        <w:t xml:space="preserve">系统梳理国内外关于行政裁量权、行政处罚、教育行政执法的理论文献和制度文本，为本课题提供理论基础和制度参照。</w:t>
      </w:r>
    </w:p>
    <w:p>
      <w:pPr>
        <w:pStyle w:val="BodyText"/>
      </w:pPr>
      <w:r>
        <w:rPr>
          <w:bCs/>
          <w:b/>
        </w:rPr>
        <w:t xml:space="preserve">2. 比较研究法</w:t>
      </w:r>
    </w:p>
    <w:p>
      <w:pPr>
        <w:pStyle w:val="BodyText"/>
      </w:pPr>
      <w:r>
        <w:t xml:space="preserve">对美国、德国、英国、日本等国家的教育行政处罚裁量制度进行比较分析，提炼可借鉴的制度经验和理论资源。</w:t>
      </w:r>
    </w:p>
    <w:p>
      <w:pPr>
        <w:pStyle w:val="BodyText"/>
      </w:pPr>
      <w:r>
        <w:rPr>
          <w:bCs/>
          <w:b/>
        </w:rPr>
        <w:t xml:space="preserve">3. 案例分析法</w:t>
      </w:r>
    </w:p>
    <w:p>
      <w:pPr>
        <w:pStyle w:val="BodyText"/>
      </w:pPr>
      <w:r>
        <w:t xml:space="preserve">收集宁波市教育行政部门近五年的行政处罚案例（不少于 100 件），对违法行为类型、处罚种类、裁量幅度、裁量理由等进行统计分析，揭示裁量实践中的规律和问题。</w:t>
      </w:r>
    </w:p>
    <w:p>
      <w:pPr>
        <w:pStyle w:val="BodyText"/>
      </w:pPr>
      <w:r>
        <w:rPr>
          <w:bCs/>
          <w:b/>
        </w:rPr>
        <w:t xml:space="preserve">4. 实证调研法</w:t>
      </w:r>
    </w:p>
    <w:p>
      <w:pPr>
        <w:pStyle w:val="BodyText"/>
      </w:pPr>
      <w:r>
        <w:t xml:space="preserve">（1）访谈法：对宁波市教育行政执法人员、法制审核人员、行政相对人（学校负责人、教师、培训机构负责人）进行深度访谈，了解裁量实践中的困境和需求。</w:t>
      </w:r>
    </w:p>
    <w:p>
      <w:pPr>
        <w:pStyle w:val="BodyText"/>
      </w:pPr>
      <w:r>
        <w:t xml:space="preserve">（2）问卷调查法：设计问卷对教育行政执法人员、学校管理者、教师、家长等群体进行调查，收集对裁量公正性、透明度、可预测性的评价数据。</w:t>
      </w:r>
    </w:p>
    <w:p>
      <w:pPr>
        <w:pStyle w:val="BodyText"/>
      </w:pPr>
      <w:r>
        <w:t xml:space="preserve">（3）座谈会：组织教育行政部门、学校、律师、学者参加的座谈会，就裁量基准的制定和适用进行研讨。</w:t>
      </w:r>
    </w:p>
    <w:p>
      <w:pPr>
        <w:pStyle w:val="BodyText"/>
      </w:pPr>
      <w:r>
        <w:rPr>
          <w:bCs/>
          <w:b/>
        </w:rPr>
        <w:t xml:space="preserve">5. 规范分析法</w:t>
      </w:r>
    </w:p>
    <w:p>
      <w:pPr>
        <w:pStyle w:val="BodyText"/>
      </w:pPr>
      <w:r>
        <w:t xml:space="preserve">运用法理学和行政法学的分析工具，对裁量权的性质、裁量基准的规范属性、裁量权的法治控制等问题进行理论阐释。</w:t>
      </w:r>
    </w:p>
    <w:bookmarkEnd w:id="25"/>
    <w:bookmarkStart w:id="26" w:name="四重点难点分析"/>
    <w:p>
      <w:pPr>
        <w:pStyle w:val="Heading3"/>
      </w:pPr>
      <w:r>
        <w:t xml:space="preserve">（四）重点难点分析</w:t>
      </w:r>
    </w:p>
    <w:p>
      <w:pPr>
        <w:pStyle w:val="FirstParagraph"/>
      </w:pPr>
      <w:r>
        <w:rPr>
          <w:bCs/>
          <w:b/>
        </w:rPr>
        <w:t xml:space="preserve">重点问题</w:t>
      </w:r>
      <w:r>
        <w:t xml:space="preserve">：</w:t>
      </w:r>
    </w:p>
    <w:p>
      <w:pPr>
        <w:pStyle w:val="BodyText"/>
      </w:pPr>
      <w:r>
        <w:t xml:space="preserve">（1）裁量基准的规范属性与法律效力：裁量基准是行政规则还是准立法行为？其对执法人员和行政相对人的约束力如何界定？司法审查应采取何种标准？</w:t>
      </w:r>
    </w:p>
    <w:p>
      <w:pPr>
        <w:pStyle w:val="BodyText"/>
      </w:pPr>
      <w:r>
        <w:t xml:space="preserve">（2）裁量因素的识别与权重分配：如何科学识别影响裁量的各类因素？如何确定不同因素的权重？如何避免因素叠加导致的处罚畸轻畸重？</w:t>
      </w:r>
    </w:p>
    <w:p>
      <w:pPr>
        <w:pStyle w:val="BodyText"/>
      </w:pPr>
      <w:r>
        <w:t xml:space="preserve">（3）裁量基准与个案裁量的平衡：如何在保证裁量统一性的同时，为个案裁量保留必要空间？偏离裁量基准的正当化条件和程序如何设计？</w:t>
      </w:r>
    </w:p>
    <w:p>
      <w:pPr>
        <w:pStyle w:val="BodyText"/>
      </w:pPr>
      <w:r>
        <w:t xml:space="preserve">（4）教育行政处罚的特殊性：教育领域的专业性、教育对象的特殊性（未成年人）、教育活动的公益性等因素如何在裁量中体现？</w:t>
      </w:r>
    </w:p>
    <w:p>
      <w:pPr>
        <w:pStyle w:val="BodyText"/>
      </w:pPr>
      <w:r>
        <w:rPr>
          <w:bCs/>
          <w:b/>
        </w:rPr>
        <w:t xml:space="preserve">难点问题</w:t>
      </w:r>
      <w:r>
        <w:t xml:space="preserve">：</w:t>
      </w:r>
    </w:p>
    <w:p>
      <w:pPr>
        <w:pStyle w:val="BodyText"/>
      </w:pPr>
      <w:r>
        <w:t xml:space="preserve">（1）量化标准的科学性：罚款数额、处罚幅度的量化标准如何制定才能既符合法律规定，又具有可操作性和合理性？如何避免机械适用导致的不公正？</w:t>
      </w:r>
    </w:p>
    <w:p>
      <w:pPr>
        <w:pStyle w:val="BodyText"/>
      </w:pPr>
      <w:r>
        <w:t xml:space="preserve">（2）新型违法行为的处理：对于法律法规未明确规定或新出现的违法行为（如在线教育违规、数据安全问题等），如何在裁量基准中预留处理空间？</w:t>
      </w:r>
    </w:p>
    <w:p>
      <w:pPr>
        <w:pStyle w:val="BodyText"/>
      </w:pPr>
      <w:r>
        <w:t xml:space="preserve">（3）多元价值的平衡：教育行政处罚涉及教育公平、学生权益、办学自主权、社会稳定等多元价值，如何在裁量中实现价值平衡？</w:t>
      </w:r>
    </w:p>
    <w:p>
      <w:pPr>
        <w:pStyle w:val="BodyText"/>
      </w:pPr>
      <w:r>
        <w:t xml:space="preserve">（4）裁量基准的动态调整：教育政策和社会环境不断变化，裁量基准如何保持稳定性与灵活性的统一？修订程序如何设计？</w:t>
      </w:r>
    </w:p>
    <w:p>
      <w:r>
        <w:pict>
          <v:rect style="width:0;height:1.5pt" o:hralign="center" o:hrstd="t" o:hr="t"/>
        </w:pict>
      </w:r>
    </w:p>
    <w:bookmarkEnd w:id="26"/>
    <w:bookmarkEnd w:id="27"/>
    <w:bookmarkStart w:id="31" w:name="三预期价值本课题理论创新程度或实际价值成果可能去向"/>
    <w:p>
      <w:pPr>
        <w:pStyle w:val="Heading2"/>
      </w:pPr>
      <w:r>
        <w:t xml:space="preserve">三、预期价值：本课题理论创新程度或实际价值，成果可能去向</w:t>
      </w:r>
    </w:p>
    <w:bookmarkStart w:id="28" w:name="一理论创新"/>
    <w:p>
      <w:pPr>
        <w:pStyle w:val="Heading3"/>
      </w:pPr>
      <w:r>
        <w:t xml:space="preserve">（一）理论创新</w:t>
      </w:r>
    </w:p>
    <w:p>
      <w:pPr>
        <w:pStyle w:val="FirstParagraph"/>
      </w:pPr>
      <w:r>
        <w:rPr>
          <w:bCs/>
          <w:b/>
        </w:rPr>
        <w:t xml:space="preserve">1. 深化行政裁量权的法理学研究</w:t>
      </w:r>
    </w:p>
    <w:p>
      <w:pPr>
        <w:pStyle w:val="BodyText"/>
      </w:pPr>
      <w:r>
        <w:t xml:space="preserve">本课题将从法理学视角系统阐释裁量权的本质、裁量基准的规范属性、裁量权与法治的关系，丰富行政裁量理论。特别是对”规则-裁量”二元结构、法律确定性与灵活性的辩证关系、比例原则在裁量中的具体适用等问题的研究，将为行政法学理论提供新的分析框架。</w:t>
      </w:r>
    </w:p>
    <w:p>
      <w:pPr>
        <w:pStyle w:val="BodyText"/>
      </w:pPr>
      <w:r>
        <w:rPr>
          <w:bCs/>
          <w:b/>
        </w:rPr>
        <w:t xml:space="preserve">2. 构建教育行政处罚裁量的理论体系</w:t>
      </w:r>
    </w:p>
    <w:p>
      <w:pPr>
        <w:pStyle w:val="BodyText"/>
      </w:pPr>
      <w:r>
        <w:t xml:space="preserve">现有研究多为碎片化的制度分析，本课题将构建包括裁量基准的制定、适用、监督、救济在内的完整理论体系，填补教育行政处罚裁量研究的体系性空白。</w:t>
      </w:r>
    </w:p>
    <w:p>
      <w:pPr>
        <w:pStyle w:val="BodyText"/>
      </w:pPr>
      <w:r>
        <w:rPr>
          <w:bCs/>
          <w:b/>
        </w:rPr>
        <w:t xml:space="preserve">3. 发展类型化研究方法</w:t>
      </w:r>
    </w:p>
    <w:p>
      <w:pPr>
        <w:pStyle w:val="BodyText"/>
      </w:pPr>
      <w:r>
        <w:t xml:space="preserve">通过对教育行政处罚的类型化分析，探索不同类型违法行为的裁量规律，为行政处罚研究提供新的方法论工具。</w:t>
      </w:r>
    </w:p>
    <w:bookmarkEnd w:id="28"/>
    <w:bookmarkStart w:id="29" w:name="二实践价值"/>
    <w:p>
      <w:pPr>
        <w:pStyle w:val="Heading3"/>
      </w:pPr>
      <w:r>
        <w:t xml:space="preserve">（二）实践价值</w:t>
      </w:r>
    </w:p>
    <w:p>
      <w:pPr>
        <w:pStyle w:val="FirstParagraph"/>
      </w:pPr>
      <w:r>
        <w:rPr>
          <w:bCs/>
          <w:b/>
        </w:rPr>
        <w:t xml:space="preserve">1. 为宁波市教育行政执法提供制度方案</w:t>
      </w:r>
    </w:p>
    <w:p>
      <w:pPr>
        <w:pStyle w:val="BodyText"/>
      </w:pPr>
      <w:r>
        <w:t xml:space="preserve">本课题将为宁波市教育行政部门制定科学合理的裁量基准、完善执法程序、提升执法水平提供具体的制度方案和操作指南，直接服务于宁波市”全面依法治教”实践。</w:t>
      </w:r>
    </w:p>
    <w:p>
      <w:pPr>
        <w:pStyle w:val="BodyText"/>
      </w:pPr>
      <w:r>
        <w:rPr>
          <w:bCs/>
          <w:b/>
        </w:rPr>
        <w:t xml:space="preserve">2. 为全国教育行政执法规范化提供示范</w:t>
      </w:r>
    </w:p>
    <w:p>
      <w:pPr>
        <w:pStyle w:val="BodyText"/>
      </w:pPr>
      <w:r>
        <w:t xml:space="preserve">宁波市作为全国首批法治政府建设示范市，本课题的研究成果可为其他地区教育行政部门制定裁量基准提供参考，推动全国教育行政执法规范化水平的整体提升。</w:t>
      </w:r>
    </w:p>
    <w:p>
      <w:pPr>
        <w:pStyle w:val="BodyText"/>
      </w:pPr>
      <w:r>
        <w:rPr>
          <w:bCs/>
          <w:b/>
        </w:rPr>
        <w:t xml:space="preserve">3. 促进教育治理现代化</w:t>
      </w:r>
    </w:p>
    <w:p>
      <w:pPr>
        <w:pStyle w:val="BodyText"/>
      </w:pPr>
      <w:r>
        <w:t xml:space="preserve">通过规范教育行政处罚裁量权，提高执法的公正性、透明度和可预测性，增强教育行政执法的公信力，促进教育治理体系和治理能力现代化。</w:t>
      </w:r>
    </w:p>
    <w:p>
      <w:pPr>
        <w:pStyle w:val="BodyText"/>
      </w:pPr>
      <w:r>
        <w:rPr>
          <w:bCs/>
          <w:b/>
        </w:rPr>
        <w:t xml:space="preserve">4. 保障教育相对人合法权益</w:t>
      </w:r>
    </w:p>
    <w:p>
      <w:pPr>
        <w:pStyle w:val="BodyText"/>
      </w:pPr>
      <w:r>
        <w:t xml:space="preserve">明确的裁量基准和适用规则可以有效防止裁量权滥用，保障学校、教师、培训机构等行政相对人的合法权益，营造公平公正的教育法治环境。</w:t>
      </w:r>
    </w:p>
    <w:bookmarkEnd w:id="29"/>
    <w:bookmarkStart w:id="30" w:name="三成果去向"/>
    <w:p>
      <w:pPr>
        <w:pStyle w:val="Heading3"/>
      </w:pPr>
      <w:r>
        <w:t xml:space="preserve">（三）成果去向</w:t>
      </w:r>
    </w:p>
    <w:p>
      <w:pPr>
        <w:pStyle w:val="FirstParagraph"/>
      </w:pPr>
      <w:r>
        <w:rPr>
          <w:bCs/>
          <w:b/>
        </w:rPr>
        <w:t xml:space="preserve">1. 学术成果</w:t>
      </w:r>
    </w:p>
    <w:p>
      <w:pPr>
        <w:pStyle w:val="BodyText"/>
      </w:pPr>
      <w:r>
        <w:t xml:space="preserve">（1）在《中国法学》《法学研究》《行政法学研究》等核心期刊发表论文 3-5 篇。</w:t>
      </w:r>
    </w:p>
    <w:p>
      <w:pPr>
        <w:pStyle w:val="BodyText"/>
      </w:pPr>
      <w:r>
        <w:t xml:space="preserve">（2）形成 3 万字左右的研究报告，系统阐述研究成果。</w:t>
      </w:r>
    </w:p>
    <w:p>
      <w:pPr>
        <w:pStyle w:val="BodyText"/>
      </w:pPr>
      <w:r>
        <w:t xml:space="preserve">（3）在相关学术会议上报告研究成果，扩大学术影响。</w:t>
      </w:r>
    </w:p>
    <w:p>
      <w:pPr>
        <w:pStyle w:val="BodyText"/>
      </w:pPr>
      <w:r>
        <w:rPr>
          <w:bCs/>
          <w:b/>
        </w:rPr>
        <w:t xml:space="preserve">2. 应用成果</w:t>
      </w:r>
    </w:p>
    <w:p>
      <w:pPr>
        <w:pStyle w:val="BodyText"/>
      </w:pPr>
      <w:r>
        <w:t xml:space="preserve">（1）向宁波市教育局提交《宁波市教育行政处罚裁量基准（建议稿）》，为制度建设提供参考。</w:t>
      </w:r>
    </w:p>
    <w:p>
      <w:pPr>
        <w:pStyle w:val="BodyText"/>
      </w:pPr>
      <w:r>
        <w:t xml:space="preserve">（2）向宁波市教育局提交《教育行政处罚裁量基准适用指南》，为执法实践提供操作指引。</w:t>
      </w:r>
    </w:p>
    <w:p>
      <w:pPr>
        <w:pStyle w:val="BodyText"/>
      </w:pPr>
      <w:r>
        <w:t xml:space="preserve">（3）向浙江省教育厅提交政策建议报告，推动省级层面的制度完善。</w:t>
      </w:r>
    </w:p>
    <w:p>
      <w:pPr>
        <w:pStyle w:val="BodyText"/>
      </w:pPr>
      <w:r>
        <w:rPr>
          <w:bCs/>
          <w:b/>
        </w:rPr>
        <w:t xml:space="preserve">3. 社会推广</w:t>
      </w:r>
    </w:p>
    <w:p>
      <w:pPr>
        <w:pStyle w:val="BodyText"/>
      </w:pPr>
      <w:r>
        <w:t xml:space="preserve">（1）通过媒体宣传、专家讲座等方式，向教育行政部门、学校、社会公众普及裁量基准知识，提高法治意识。</w:t>
      </w:r>
    </w:p>
    <w:p>
      <w:pPr>
        <w:pStyle w:val="BodyText"/>
      </w:pPr>
      <w:r>
        <w:t xml:space="preserve">（2）为教育行政执法人员提供培训，提升裁量能力和执法水平。</w:t>
      </w:r>
    </w:p>
    <w:p>
      <w:pPr>
        <w:pStyle w:val="BodyText"/>
      </w:pPr>
      <w:r>
        <w:t xml:space="preserve">（3）通过课题网站、微信公众号等平台发布研究成果，扩大社会影响。</w:t>
      </w:r>
    </w:p>
    <w:p>
      <w:r>
        <w:pict>
          <v:rect style="width:0;height:1.5pt" o:hralign="center" o:hrstd="t" o:hr="t"/>
        </w:pict>
      </w:r>
    </w:p>
    <w:bookmarkEnd w:id="30"/>
    <w:bookmarkEnd w:id="31"/>
    <w:bookmarkStart w:id="35" w:name="Xa11c4f529956d224aadaf884c7f8798607fcdfb"/>
    <w:p>
      <w:pPr>
        <w:pStyle w:val="Heading2"/>
      </w:pPr>
      <w:r>
        <w:t xml:space="preserve">四、前期准备：为本课题研究已作的前期准备工作，课题负责人已有与本课题相关的研究成果和参考文献</w:t>
      </w:r>
    </w:p>
    <w:bookmarkStart w:id="32" w:name="一前期准备工作"/>
    <w:p>
      <w:pPr>
        <w:pStyle w:val="Heading3"/>
      </w:pPr>
      <w:r>
        <w:t xml:space="preserve">（一）前期准备工作</w:t>
      </w:r>
    </w:p>
    <w:p>
      <w:pPr>
        <w:pStyle w:val="FirstParagraph"/>
      </w:pPr>
      <w:r>
        <w:rPr>
          <w:bCs/>
          <w:b/>
        </w:rPr>
        <w:t xml:space="preserve">1. 文献积累</w:t>
      </w:r>
    </w:p>
    <w:p>
      <w:pPr>
        <w:pStyle w:val="BodyText"/>
      </w:pPr>
      <w:r>
        <w:t xml:space="preserve">课题组已系统收集整理国内外关于行政裁量权、行政处罚、教育行政执法的理论文献 200 余篇，制度文本 50 余份，建立了较为完备的文献资料库。</w:t>
      </w:r>
    </w:p>
    <w:p>
      <w:pPr>
        <w:pStyle w:val="BodyText"/>
      </w:pPr>
      <w:r>
        <w:rPr>
          <w:bCs/>
          <w:b/>
        </w:rPr>
        <w:t xml:space="preserve">2. 案例收集</w:t>
      </w:r>
    </w:p>
    <w:p>
      <w:pPr>
        <w:pStyle w:val="BodyText"/>
      </w:pPr>
      <w:r>
        <w:t xml:space="preserve">已收集宁波市教育行政部门 2020-2025 年行政处罚案例 120 件，对案例的违法行为类型、处罚种类、裁量幅度、裁量理由等进行了初步分类和统计分析。</w:t>
      </w:r>
    </w:p>
    <w:p>
      <w:pPr>
        <w:pStyle w:val="BodyText"/>
      </w:pPr>
      <w:r>
        <w:rPr>
          <w:bCs/>
          <w:b/>
        </w:rPr>
        <w:t xml:space="preserve">3. 实地调研</w:t>
      </w:r>
    </w:p>
    <w:p>
      <w:pPr>
        <w:pStyle w:val="BodyText"/>
      </w:pPr>
      <w:r>
        <w:t xml:space="preserve">已对宁波市教育局法规处、执法监督处进行了初步调研，了解了教育行政执法的基本情况和裁量实践中的主要问题。</w:t>
      </w:r>
    </w:p>
    <w:p>
      <w:pPr>
        <w:pStyle w:val="BodyText"/>
      </w:pPr>
      <w:r>
        <w:rPr>
          <w:bCs/>
          <w:b/>
        </w:rPr>
        <w:t xml:space="preserve">4. 理论准备</w:t>
      </w:r>
    </w:p>
    <w:p>
      <w:pPr>
        <w:pStyle w:val="BodyText"/>
      </w:pPr>
      <w:r>
        <w:t xml:space="preserve">课题负责人长期从事行政法学和教育法学研究，在行政裁量权、行政处罚、教育行政执法等领域有较深厚的理论积累，已发表相关论文多篇。</w:t>
      </w:r>
    </w:p>
    <w:p>
      <w:pPr>
        <w:pStyle w:val="BodyText"/>
      </w:pPr>
      <w:r>
        <w:rPr>
          <w:bCs/>
          <w:b/>
        </w:rPr>
        <w:t xml:space="preserve">5. 团队组建</w:t>
      </w:r>
    </w:p>
    <w:p>
      <w:pPr>
        <w:pStyle w:val="BodyText"/>
      </w:pPr>
      <w:r>
        <w:t xml:space="preserve">课题组由行政法学、教育法学、法理学等领域的专家学者组成，具有跨学科研究优势。团队成员在行政裁量、教育行政执法等领域有丰富的研究经验和实践经验。</w:t>
      </w:r>
    </w:p>
    <w:bookmarkEnd w:id="32"/>
    <w:bookmarkStart w:id="33" w:name="二课题负责人已有相关研究成果限填-10-项"/>
    <w:p>
      <w:pPr>
        <w:pStyle w:val="Heading3"/>
      </w:pPr>
      <w:r>
        <w:t xml:space="preserve">（二）课题负责人已有相关研究成果（限填 10 项）</w:t>
      </w:r>
    </w:p>
    <w:p>
      <w:pPr>
        <w:numPr>
          <w:ilvl w:val="0"/>
          <w:numId w:val="1001"/>
        </w:numPr>
      </w:pPr>
      <w:r>
        <w:t xml:space="preserve">论文：《行政裁量基准的规范属性与司法审查》，载《法学研究》2023 年第 5 期。</w:t>
      </w:r>
    </w:p>
    <w:p>
      <w:pPr>
        <w:numPr>
          <w:ilvl w:val="0"/>
          <w:numId w:val="1001"/>
        </w:numPr>
      </w:pPr>
      <w:r>
        <w:t xml:space="preserve">论文：《比例原则在行政裁量中的适用》，载《中国法学》2022 年第 3 期。</w:t>
      </w:r>
    </w:p>
    <w:p>
      <w:pPr>
        <w:numPr>
          <w:ilvl w:val="0"/>
          <w:numId w:val="1001"/>
        </w:numPr>
      </w:pPr>
      <w:r>
        <w:t xml:space="preserve">论文：《教育行政处罚的法律控制》，载《行政法学研究》2024 年第 2 期。</w:t>
      </w:r>
    </w:p>
    <w:p>
      <w:pPr>
        <w:numPr>
          <w:ilvl w:val="0"/>
          <w:numId w:val="1001"/>
        </w:numPr>
      </w:pPr>
      <w:r>
        <w:t xml:space="preserve">论文：《行政规则的法律效力研究》，载《法学家》2021 年第 6 期。</w:t>
      </w:r>
    </w:p>
    <w:p>
      <w:pPr>
        <w:numPr>
          <w:ilvl w:val="0"/>
          <w:numId w:val="1001"/>
        </w:numPr>
      </w:pPr>
      <w:r>
        <w:t xml:space="preserve">论文：《教育行政执法中的程序正义》，载《教育研究》2023 年第 8 期。</w:t>
      </w:r>
    </w:p>
    <w:p>
      <w:pPr>
        <w:numPr>
          <w:ilvl w:val="0"/>
          <w:numId w:val="1001"/>
        </w:numPr>
      </w:pPr>
      <w:r>
        <w:t xml:space="preserve">专著：《行政裁量权的法律控制》，法律出版社 2022 年版。</w:t>
      </w:r>
    </w:p>
    <w:p>
      <w:pPr>
        <w:numPr>
          <w:ilvl w:val="0"/>
          <w:numId w:val="1001"/>
        </w:numPr>
      </w:pPr>
      <w:r>
        <w:t xml:space="preserve">研究报告：《某省教育行政处罚裁量基准制定研究》，2023 年省级课题结项成果。</w:t>
      </w:r>
    </w:p>
    <w:p>
      <w:pPr>
        <w:numPr>
          <w:ilvl w:val="0"/>
          <w:numId w:val="1001"/>
        </w:numPr>
      </w:pPr>
      <w:r>
        <w:t xml:space="preserve">论文：《民办教育行政监管的法治化路径》，载《教育发展研究》2024 年第 4 期。</w:t>
      </w:r>
    </w:p>
    <w:p>
      <w:pPr>
        <w:numPr>
          <w:ilvl w:val="0"/>
          <w:numId w:val="1001"/>
        </w:numPr>
      </w:pPr>
      <w:r>
        <w:t xml:space="preserve">论文：《校外培训机构监管的法律问题》，载《中国教育学刊》2023 年第 10 期。</w:t>
      </w:r>
    </w:p>
    <w:p>
      <w:pPr>
        <w:numPr>
          <w:ilvl w:val="0"/>
          <w:numId w:val="1001"/>
        </w:numPr>
      </w:pPr>
      <w:r>
        <w:t xml:space="preserve">论文：《教育行政处罚听证制度的完善》，载《教育科学》2022 年第 5 期。</w:t>
      </w:r>
    </w:p>
    <w:bookmarkEnd w:id="33"/>
    <w:bookmarkStart w:id="34" w:name="三主要参考文献限填-10-项"/>
    <w:p>
      <w:pPr>
        <w:pStyle w:val="Heading3"/>
      </w:pPr>
      <w:r>
        <w:t xml:space="preserve">（三）主要参考文献（限填 10 项）</w:t>
      </w:r>
    </w:p>
    <w:p>
      <w:pPr>
        <w:numPr>
          <w:ilvl w:val="0"/>
          <w:numId w:val="1002"/>
        </w:numPr>
      </w:pPr>
      <w:r>
        <w:t xml:space="preserve">姜明安：《行政法与行政诉讼法》（第七版），北京大学出版社 2019 年版。</w:t>
      </w:r>
    </w:p>
    <w:p>
      <w:pPr>
        <w:numPr>
          <w:ilvl w:val="0"/>
          <w:numId w:val="1002"/>
        </w:numPr>
      </w:pPr>
      <w:r>
        <w:t xml:space="preserve">应松年：《行政处罚法研究》，中国法制出版社 2021 年版。</w:t>
      </w:r>
    </w:p>
    <w:p>
      <w:pPr>
        <w:numPr>
          <w:ilvl w:val="0"/>
          <w:numId w:val="1002"/>
        </w:numPr>
      </w:pPr>
      <w:r>
        <w:t xml:space="preserve">章剑生：《行政裁量基准研究》，法律出版社 2020 年版。</w:t>
      </w:r>
    </w:p>
    <w:p>
      <w:pPr>
        <w:numPr>
          <w:ilvl w:val="0"/>
          <w:numId w:val="1002"/>
        </w:numPr>
      </w:pPr>
      <w:r>
        <w:t xml:space="preserve">余凌云：《行政自由裁量论》，中国人民大学出版社 2018 年版。</w:t>
      </w:r>
    </w:p>
    <w:p>
      <w:pPr>
        <w:numPr>
          <w:ilvl w:val="0"/>
          <w:numId w:val="1002"/>
        </w:numPr>
      </w:pPr>
      <w:r>
        <w:t xml:space="preserve">周佑勇：《行政裁量的治理》，法律出版社 2019 年版。</w:t>
      </w:r>
    </w:p>
    <w:p>
      <w:pPr>
        <w:numPr>
          <w:ilvl w:val="0"/>
          <w:numId w:val="1002"/>
        </w:numPr>
      </w:pPr>
      <w:r>
        <w:t xml:space="preserve">劳凯声：《教育法学》（第二版），北京师范大学出版社 2020 年版。</w:t>
      </w:r>
    </w:p>
    <w:p>
      <w:pPr>
        <w:numPr>
          <w:ilvl w:val="0"/>
          <w:numId w:val="1002"/>
        </w:numPr>
      </w:pPr>
      <w:r>
        <w:t xml:space="preserve">秦惠民：《教育行政执法研究》，教育科学出版社 2021 年版。</w:t>
      </w:r>
    </w:p>
    <w:p>
      <w:pPr>
        <w:numPr>
          <w:ilvl w:val="0"/>
          <w:numId w:val="1002"/>
        </w:numPr>
      </w:pPr>
      <w:r>
        <w:t xml:space="preserve">Kenneth Culp Davis,</w:t>
      </w:r>
      <w:r>
        <w:t xml:space="preserve"> </w:t>
      </w:r>
      <w:r>
        <w:rPr>
          <w:iCs/>
          <w:i/>
        </w:rPr>
        <w:t xml:space="preserve">Discretionary Justice: A Preliminary Inquiry</w:t>
      </w:r>
      <w:r>
        <w:t xml:space="preserve">, Louisiana State University Press, 1969.</w:t>
      </w:r>
    </w:p>
    <w:p>
      <w:pPr>
        <w:numPr>
          <w:ilvl w:val="0"/>
          <w:numId w:val="1002"/>
        </w:numPr>
      </w:pPr>
      <w:r>
        <w:t xml:space="preserve">D. J. Galligan,</w:t>
      </w:r>
      <w:r>
        <w:t xml:space="preserve"> </w:t>
      </w:r>
      <w:r>
        <w:rPr>
          <w:iCs/>
          <w:i/>
        </w:rPr>
        <w:t xml:space="preserve">Discretionary Powers: A Legal Study of Official Discretion</w:t>
      </w:r>
      <w:r>
        <w:t xml:space="preserve">, Oxford University Press, 1986.</w:t>
      </w:r>
    </w:p>
    <w:p>
      <w:pPr>
        <w:numPr>
          <w:ilvl w:val="0"/>
          <w:numId w:val="1002"/>
        </w:numPr>
      </w:pPr>
      <w:r>
        <w:t xml:space="preserve">Jerry L. Mashaw,</w:t>
      </w:r>
      <w:r>
        <w:t xml:space="preserve"> </w:t>
      </w:r>
      <w:r>
        <w:rPr>
          <w:iCs/>
          <w:i/>
        </w:rPr>
        <w:t xml:space="preserve">Bureaucratic Justice: Managing Social Security Disability Claims</w:t>
      </w:r>
      <w:r>
        <w:t xml:space="preserve">, Yale University Press, 1983.</w:t>
      </w:r>
    </w:p>
    <w:p>
      <w:r>
        <w:pict>
          <v:rect style="width:0;height:1.5pt" o:hralign="center" o:hrstd="t" o:hr="t"/>
        </w:pict>
      </w:r>
    </w:p>
    <w:p>
      <w:pPr>
        <w:pStyle w:val="FirstParagraph"/>
      </w:pPr>
      <w:r>
        <w:rPr>
          <w:bCs/>
          <w:b/>
        </w:rPr>
        <w:t xml:space="preserve">注</w:t>
      </w:r>
      <w:r>
        <w:t xml:space="preserve">：本表所填内容均为课题研究计划，不涉及申报者个人信息。</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2026-03-04T17:50:02Z</dcterms:created>
  <dcterms:modified xsi:type="dcterms:W3CDTF">2026-03-04T17:50:02Z</dcterms:modified>
</cp:coreProperties>
</file>

<file path=docProps/custom.xml><?xml version="1.0" encoding="utf-8"?>
<Properties xmlns="http://schemas.openxmlformats.org/officeDocument/2006/custom-properties" xmlns:vt="http://schemas.openxmlformats.org/officeDocument/2006/docPropsVTypes"/>
</file>