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Arial Unicode MS" w:hAnsi="Arial Unicode MS" w:eastAsia="Arial Unicode MS"/>
          <w:b/>
          <w:color w:val="1C9A91"/>
          <w:sz w:val="19"/>
        </w:rPr>
        <w:t>PRODUCT REQUIREMENTS DOCUMENT  /  V0.1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172B3A"/>
          <w:sz w:val="56"/>
        </w:rPr>
        <w:t>机鉴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3465B"/>
          <w:sz w:val="32"/>
        </w:rPr>
        <w:t>IDC AI故障调查与现场协同平台</w:t>
      </w:r>
    </w:p>
    <w:p>
      <w:pPr>
        <w:spacing w:after="360"/>
      </w:pPr>
      <w:r>
        <w:rPr>
          <w:rFonts w:ascii="Arial Unicode MS" w:hAnsi="Arial Unicode MS" w:eastAsia="Arial Unicode MS"/>
          <w:b/>
          <w:color w:val="176B87"/>
          <w:sz w:val="40"/>
        </w:rPr>
        <w:t>PRD产品需求文档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Arial Unicode MS" w:hAnsi="Arial Unicode MS" w:eastAsia="Arial Unicode MS"/>
                <w:b/>
                <w:color w:val="13465B"/>
                <w:sz w:val="19"/>
              </w:rPr>
              <w:t>文档编号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Arial Unicode MS" w:hAnsi="Arial Unicode MS" w:eastAsia="Arial Unicode MS"/>
                <w:b w:val="0"/>
                <w:color w:val="172B3A"/>
                <w:sz w:val="19"/>
              </w:rPr>
              <w:t>IDC-AI-OPS-PRD-002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Arial Unicode MS" w:hAnsi="Arial Unicode MS" w:eastAsia="Arial Unicode MS"/>
                <w:b/>
                <w:color w:val="13465B"/>
                <w:sz w:val="19"/>
              </w:rPr>
              <w:t>版本 / 状态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Arial Unicode MS" w:hAnsi="Arial Unicode MS" w:eastAsia="Arial Unicode MS"/>
                <w:b w:val="0"/>
                <w:color w:val="172B3A"/>
                <w:sz w:val="19"/>
              </w:rPr>
              <w:t>V0.1 / 产品评审稿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Arial Unicode MS" w:hAnsi="Arial Unicode MS" w:eastAsia="Arial Unicode MS"/>
                <w:b/>
                <w:color w:val="13465B"/>
                <w:sz w:val="19"/>
              </w:rPr>
              <w:t>编制日期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Arial Unicode MS" w:hAnsi="Arial Unicode MS" w:eastAsia="Arial Unicode MS"/>
                <w:b w:val="0"/>
                <w:color w:val="172B3A"/>
                <w:sz w:val="19"/>
              </w:rPr>
              <w:t>2026年8月27日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Arial Unicode MS" w:hAnsi="Arial Unicode MS" w:eastAsia="Arial Unicode MS"/>
                <w:b/>
                <w:color w:val="13465B"/>
                <w:sz w:val="19"/>
              </w:rPr>
              <w:t>上位文档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Arial Unicode MS" w:hAnsi="Arial Unicode MS" w:eastAsia="Arial Unicode MS"/>
                <w:b w:val="0"/>
                <w:color w:val="172B3A"/>
                <w:sz w:val="19"/>
              </w:rPr>
              <w:t>《机鉴产品立项报告》V0.1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Arial Unicode MS" w:hAnsi="Arial Unicode MS" w:eastAsia="Arial Unicode MS"/>
                <w:b/>
                <w:color w:val="13465B"/>
                <w:sz w:val="19"/>
              </w:rPr>
              <w:t>适用范围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Arial Unicode MS" w:hAnsi="Arial Unicode MS" w:eastAsia="Arial Unicode MS"/>
                <w:b w:val="0"/>
                <w:color w:val="172B3A"/>
                <w:sz w:val="19"/>
              </w:rPr>
              <w:t>产品、研发、测试、系统组、网络组、IDC现场、AI运营和试点评审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Arial Unicode MS" w:hAnsi="Arial Unicode MS" w:eastAsia="Arial Unicode MS"/>
                <w:b/>
                <w:color w:val="13465B"/>
                <w:sz w:val="19"/>
              </w:rPr>
              <w:t>保密等级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Arial Unicode MS" w:hAnsi="Arial Unicode MS" w:eastAsia="Arial Unicode MS"/>
                <w:b w:val="0"/>
                <w:color w:val="172B3A"/>
                <w:sz w:val="19"/>
              </w:rPr>
              <w:t>内部资料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5F3"/>
          </w:tcPr>
          <w:p>
            <w:pPr>
              <w:spacing w:before="60" w:after="60"/>
            </w:pPr>
            <w:r>
              <w:rPr>
                <w:rFonts w:ascii="Arial Unicode MS" w:hAnsi="Arial Unicode MS" w:eastAsia="Arial Unicode MS"/>
                <w:color w:val="13465B"/>
                <w:sz w:val="19"/>
              </w:rPr>
              <w:t>本PRD同时记录当前已实现能力、真实环境未验证能力和生产前差距；模拟结果不作为生产准确率证明。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Arial Unicode MS" w:hAnsi="Arial Unicode MS" w:eastAsia="Arial Unicode MS"/>
          <w:b/>
          <w:color w:val="176B87"/>
          <w:sz w:val="34"/>
        </w:rPr>
        <w:t>目录</w:t>
      </w:r>
    </w:p>
    <w:p>
      <w:pPr>
        <w:spacing w:after="200"/>
      </w:pPr>
      <w:r>
        <w:rPr>
          <w:rFonts w:ascii="Arial Unicode MS" w:hAnsi="Arial Unicode MS" w:eastAsia="Arial Unicode MS"/>
          <w:color w:val="667985"/>
          <w:sz w:val="19"/>
        </w:rPr>
        <w:t>导入飞书后，可依据Word Heading 1/2/3自动生成可折叠的上下级目录。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01  </w:t>
      </w:r>
      <w:r>
        <w:rPr>
          <w:rFonts w:ascii="Arial Unicode MS" w:hAnsi="Arial Unicode MS" w:eastAsia="Arial Unicode MS"/>
          <w:b/>
          <w:color w:val="13465B"/>
          <w:sz w:val="19"/>
        </w:rPr>
        <w:t>一、文档说明与版本状态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02  </w:t>
      </w:r>
      <w:r>
        <w:rPr>
          <w:rFonts w:ascii="Arial Unicode MS" w:hAnsi="Arial Unicode MS" w:eastAsia="Arial Unicode MS"/>
          <w:b/>
          <w:color w:val="13465B"/>
          <w:sz w:val="19"/>
        </w:rPr>
        <w:t>二、产品背景、目标与成功标准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03  </w:t>
      </w:r>
      <w:r>
        <w:rPr>
          <w:rFonts w:ascii="Arial Unicode MS" w:hAnsi="Arial Unicode MS" w:eastAsia="Arial Unicode MS"/>
          <w:b/>
          <w:color w:val="13465B"/>
          <w:sz w:val="19"/>
        </w:rPr>
        <w:t>三、产品范围与非目标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04  </w:t>
      </w:r>
      <w:r>
        <w:rPr>
          <w:rFonts w:ascii="Arial Unicode MS" w:hAnsi="Arial Unicode MS" w:eastAsia="Arial Unicode MS"/>
          <w:b/>
          <w:color w:val="13465B"/>
          <w:sz w:val="19"/>
        </w:rPr>
        <w:t>四、用户角色与使用目标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05  </w:t>
      </w:r>
      <w:r>
        <w:rPr>
          <w:rFonts w:ascii="Arial Unicode MS" w:hAnsi="Arial Unicode MS" w:eastAsia="Arial Unicode MS"/>
          <w:b/>
          <w:color w:val="13465B"/>
          <w:sz w:val="19"/>
        </w:rPr>
        <w:t>五、信息架构与页面导航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06  </w:t>
      </w:r>
      <w:r>
        <w:rPr>
          <w:rFonts w:ascii="Arial Unicode MS" w:hAnsi="Arial Unicode MS" w:eastAsia="Arial Unicode MS"/>
          <w:b/>
          <w:color w:val="13465B"/>
          <w:sz w:val="19"/>
        </w:rPr>
        <w:t>六、故障接入与事件建立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07  </w:t>
      </w:r>
      <w:r>
        <w:rPr>
          <w:rFonts w:ascii="Arial Unicode MS" w:hAnsi="Arial Unicode MS" w:eastAsia="Arial Unicode MS"/>
          <w:b/>
          <w:color w:val="13465B"/>
          <w:sz w:val="19"/>
        </w:rPr>
        <w:t>七、告警治理与事故关联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08  </w:t>
      </w:r>
      <w:r>
        <w:rPr>
          <w:rFonts w:ascii="Arial Unicode MS" w:hAnsi="Arial Unicode MS" w:eastAsia="Arial Unicode MS"/>
          <w:b/>
          <w:color w:val="13465B"/>
          <w:sz w:val="19"/>
        </w:rPr>
        <w:t>八、AI调查、RAG与证据链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09  </w:t>
      </w:r>
      <w:r>
        <w:rPr>
          <w:rFonts w:ascii="Arial Unicode MS" w:hAnsi="Arial Unicode MS" w:eastAsia="Arial Unicode MS"/>
          <w:b/>
          <w:color w:val="13465B"/>
          <w:sz w:val="19"/>
        </w:rPr>
        <w:t>九、接口人协同与现场反馈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10  </w:t>
      </w:r>
      <w:r>
        <w:rPr>
          <w:rFonts w:ascii="Arial Unicode MS" w:hAnsi="Arial Unicode MS" w:eastAsia="Arial Unicode MS"/>
          <w:b/>
          <w:color w:val="13465B"/>
          <w:sz w:val="19"/>
        </w:rPr>
        <w:t>十、OMS工单与现场操作闭环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11  </w:t>
      </w:r>
      <w:r>
        <w:rPr>
          <w:rFonts w:ascii="Arial Unicode MS" w:hAnsi="Arial Unicode MS" w:eastAsia="Arial Unicode MS"/>
          <w:b/>
          <w:color w:val="13465B"/>
          <w:sz w:val="19"/>
        </w:rPr>
        <w:t>十一、动环与CC通报提示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12  </w:t>
      </w:r>
      <w:r>
        <w:rPr>
          <w:rFonts w:ascii="Arial Unicode MS" w:hAnsi="Arial Unicode MS" w:eastAsia="Arial Unicode MS"/>
          <w:b/>
          <w:color w:val="13465B"/>
          <w:sz w:val="19"/>
        </w:rPr>
        <w:t>十二、接入实验室、故障演练与沙盒验证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13  </w:t>
      </w:r>
      <w:r>
        <w:rPr>
          <w:rFonts w:ascii="Arial Unicode MS" w:hAnsi="Arial Unicode MS" w:eastAsia="Arial Unicode MS"/>
          <w:b/>
          <w:color w:val="13465B"/>
          <w:sz w:val="19"/>
        </w:rPr>
        <w:t>十三、AI控制台、知识资产与发布治理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14  </w:t>
      </w:r>
      <w:r>
        <w:rPr>
          <w:rFonts w:ascii="Arial Unicode MS" w:hAnsi="Arial Unicode MS" w:eastAsia="Arial Unicode MS"/>
          <w:b/>
          <w:color w:val="13465B"/>
          <w:sz w:val="19"/>
        </w:rPr>
        <w:t>十四、安全、权限、异常与降级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15  </w:t>
      </w:r>
      <w:r>
        <w:rPr>
          <w:rFonts w:ascii="Arial Unicode MS" w:hAnsi="Arial Unicode MS" w:eastAsia="Arial Unicode MS"/>
          <w:b/>
          <w:color w:val="13465B"/>
          <w:sz w:val="19"/>
        </w:rPr>
        <w:t>十五、非功能要求与生产试点门槛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16  </w:t>
      </w:r>
      <w:r>
        <w:rPr>
          <w:rFonts w:ascii="Arial Unicode MS" w:hAnsi="Arial Unicode MS" w:eastAsia="Arial Unicode MS"/>
          <w:b/>
          <w:color w:val="13465B"/>
          <w:sz w:val="19"/>
        </w:rPr>
        <w:t>十六、验收、优先级与版本路线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17  </w:t>
      </w:r>
      <w:r>
        <w:rPr>
          <w:rFonts w:ascii="Arial Unicode MS" w:hAnsi="Arial Unicode MS" w:eastAsia="Arial Unicode MS"/>
          <w:b/>
          <w:color w:val="13465B"/>
          <w:sz w:val="19"/>
        </w:rPr>
        <w:t>附录A：角色与权限矩阵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18  </w:t>
      </w:r>
      <w:r>
        <w:rPr>
          <w:rFonts w:ascii="Arial Unicode MS" w:hAnsi="Arial Unicode MS" w:eastAsia="Arial Unicode MS"/>
          <w:b/>
          <w:color w:val="13465B"/>
          <w:sz w:val="19"/>
        </w:rPr>
        <w:t>附录B：页面与功能清单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19  </w:t>
      </w:r>
      <w:r>
        <w:rPr>
          <w:rFonts w:ascii="Arial Unicode MS" w:hAnsi="Arial Unicode MS" w:eastAsia="Arial Unicode MS"/>
          <w:b/>
          <w:color w:val="13465B"/>
          <w:sz w:val="19"/>
        </w:rPr>
        <w:t>附录C：OMS字段与必填规则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20  </w:t>
      </w:r>
      <w:r>
        <w:rPr>
          <w:rFonts w:ascii="Arial Unicode MS" w:hAnsi="Arial Unicode MS" w:eastAsia="Arial Unicode MS"/>
          <w:b/>
          <w:color w:val="13465B"/>
          <w:sz w:val="19"/>
        </w:rPr>
        <w:t>附录D：关键状态机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21  </w:t>
      </w:r>
      <w:r>
        <w:rPr>
          <w:rFonts w:ascii="Arial Unicode MS" w:hAnsi="Arial Unicode MS" w:eastAsia="Arial Unicode MS"/>
          <w:b/>
          <w:color w:val="13465B"/>
          <w:sz w:val="19"/>
        </w:rPr>
        <w:t>附录E：不可被AI覆盖的硬门禁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22  </w:t>
      </w:r>
      <w:r>
        <w:rPr>
          <w:rFonts w:ascii="Arial Unicode MS" w:hAnsi="Arial Unicode MS" w:eastAsia="Arial Unicode MS"/>
          <w:b/>
          <w:color w:val="13465B"/>
          <w:sz w:val="19"/>
        </w:rPr>
        <w:t>附录F：错误、降级与用户提示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23  </w:t>
      </w:r>
      <w:r>
        <w:rPr>
          <w:rFonts w:ascii="Arial Unicode MS" w:hAnsi="Arial Unicode MS" w:eastAsia="Arial Unicode MS"/>
          <w:b/>
          <w:color w:val="13465B"/>
          <w:sz w:val="19"/>
        </w:rPr>
        <w:t>附录G：需求与测试证据映射</w:t>
      </w:r>
    </w:p>
    <w:p>
      <w:pPr>
        <w:spacing w:after="60"/>
        <w:ind w:left="144"/>
      </w:pPr>
      <w:r>
        <w:rPr>
          <w:rFonts w:ascii="Arial Unicode MS" w:hAnsi="Arial Unicode MS" w:eastAsia="Arial Unicode MS"/>
          <w:b/>
          <w:color w:val="1C9A91"/>
          <w:sz w:val="18"/>
        </w:rPr>
        <w:t xml:space="preserve">24  </w:t>
      </w:r>
      <w:r>
        <w:rPr>
          <w:rFonts w:ascii="Arial Unicode MS" w:hAnsi="Arial Unicode MS" w:eastAsia="Arial Unicode MS"/>
          <w:b/>
          <w:color w:val="13465B"/>
          <w:sz w:val="19"/>
        </w:rPr>
        <w:t>附录H：能力真实性状态表</w:t>
      </w:r>
    </w:p>
    <w:p>
      <w:r>
        <w:br w:type="page"/>
      </w:r>
    </w:p>
    <w:p>
      <w:pPr>
        <w:pStyle w:val="Heading1"/>
      </w:pPr>
      <w:r>
        <w:t>一、文档说明与版本状态</w:t>
      </w:r>
    </w:p>
    <w:p>
      <w:pPr>
        <w:pStyle w:val="Heading2"/>
      </w:pPr>
      <w:r>
        <w:t>1.1 文档目的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本PRD定义机鉴当前原型、受控试点版本和后续生产化版本的产品需求。它用于统一产品、研发、测试和业务代表对角色、页面、流程、字段、状态、异常、安全门禁和验收标准的理解。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本文件不是对当前系统的宣传材料。凡未连接真实客户平台、真实模型或真实生产数据的能力，均明确标注事实状态；模拟、公开数据和本地测试结果不能作为生产准确率或正式提效比例。</w:t>
      </w:r>
    </w:p>
    <w:p>
      <w:pPr>
        <w:pStyle w:val="Heading2"/>
      </w:pPr>
      <w:r>
        <w:t>1.2 目标读者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管理者和项目负责人：确认范围、阶段目标、责任边界和试点准入条件；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产品和业务代表：确认实际作业流程、页面行为和例外情况；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研发人员：实现页面、接口、状态、数据和安全门禁；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测试人员：根据需求编号设计自动化、浏览器、沙盒和真实试点用例；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AI运营与审计人员：管理知识、提示词、约束、模型、版本和追溯记录。</w:t>
      </w:r>
    </w:p>
    <w:p>
      <w:pPr>
        <w:pStyle w:val="Heading2"/>
      </w:pPr>
      <w:r>
        <w:t>1.3 事实状态口径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PRD表述方式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当前代码存在，并有自动测试、浏览器验证或可重复操作证据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当前已支持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已实现未接真实环境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已有接口、适配器或流程，但未连接客户生产平台或真实模型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已具备能力，待真实环境验证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模拟验证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仅使用合成、公开、模型桩或沙盒数据验证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已完成模拟验证，不代表生产效果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规划能力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当前尚未闭合或只有设计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计划建设或P0待实现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待确认事实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来自回忆、推测或缺少正式业务证据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待试点单位确认</w:t>
            </w:r>
          </w:p>
        </w:tc>
      </w:tr>
    </w:tbl>
    <w:p>
      <w:pPr>
        <w:spacing w:after="20"/>
      </w:pPr>
    </w:p>
    <w:p>
      <w:pPr>
        <w:pStyle w:val="Heading2"/>
      </w:pPr>
      <w:r>
        <w:t>1.4 需求优先级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P0：受控试点或安全闭环不可缺少；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P1：显著提升效率、治理或可维护性，但不阻断首个试点；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P2：规模化、商业化或体验增强能力。</w:t>
      </w:r>
    </w:p>
    <w:p>
      <w:pPr>
        <w:pStyle w:val="Heading2"/>
      </w:pPr>
      <w:r>
        <w:t>1.5 需求编号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使用模块前缀和三位流水号：INC为接入与事件、GOV为治理、COR为关联、AI为调查、COL为协同、OPS为现场操作、CC为动环与CC、DRL为演练、LAB为接入实验室、AIC为AI控制台、SEC为安全、ERR为异常降级、NFR为非功能需求。</w:t>
      </w:r>
    </w:p>
    <w:p>
      <w:pPr>
        <w:pStyle w:val="Heading1"/>
      </w:pPr>
      <w:r>
        <w:t>二、产品背景、目标与成功标准</w:t>
      </w:r>
    </w:p>
    <w:p>
      <w:pPr>
        <w:pStyle w:val="Heading2"/>
      </w:pPr>
      <w:r>
        <w:t>2.1 业务基线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以下数据来自产品发起人提供的既往现场工作场景，仅用于需求设计，不代表行业平均值，试点前须由试点单位复核：大型机房运行服务器规模约十万台；日均现场工单约二十单；现场团队约十人；工作日可多人协作，夜间和周末通常只有一名值班人员；系统组和网络组采用轮班方式并负责多个机房。</w:t>
      </w:r>
    </w:p>
    <w:p>
      <w:pPr>
        <w:pStyle w:val="Heading2"/>
      </w:pPr>
      <w:r>
        <w:t>2.2 当前问题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日志、监控、BMC、动环、网络、OMS、群聊和现场观察分散；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设备身份、机架位、业务状态和操作许可需要反复沟通；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同一现象存在多个竞争原因，个人经验难以复用；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自动告警可能重复、恢复不等于业务恢复、定位部件不一定是最终根因；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普通大模型容易输出语言正确但证据不足的结论；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夜间单人值班、紧急操作和远程复核之间存在效率与责任冲突。</w:t>
      </w:r>
    </w:p>
    <w:p>
      <w:pPr>
        <w:pStyle w:val="Heading2"/>
      </w:pPr>
      <w:r>
        <w:t>2.3 产品目标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将多来源信号归并为可追溯事故；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以确定性设备身份和拓扑关联为前提，不让模型猜测同一设备；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通过规则、RAG和只读Agent形成可核验证据、竞争原因与下一项检查；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为系统组、网络组和现场人员减少重复复制、询问和窗口切换；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在完整SN、操作许可、人工复核和恢复验证等责任点保留人工决策；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将处理过程沉淀为可审核、可版本化、可回滚的知识资产。</w:t>
      </w:r>
    </w:p>
    <w:p>
      <w:pPr>
        <w:pStyle w:val="Heading2"/>
      </w:pPr>
      <w:r>
        <w:t>2.4 成功标准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受控试点前先测量现有流程基线，再比较：首份可用证据摘要时间、现场获得完整操作信息时间、跨平台切换次数、重复问答次数、重复工单次数、操作完成到反馈完成时间、身份正确关联率、证据引用完整率和证据不足时正确停止率。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PRD不预设未经验证的节省比例和生产准确率。目标值在真实数据接入、真实模型对照和试点基线建立后由试点双方确认。</w:t>
      </w:r>
    </w:p>
    <w:p>
      <w:pPr>
        <w:pStyle w:val="Heading1"/>
      </w:pPr>
      <w:r>
        <w:t>三、产品范围与非目标</w:t>
      </w:r>
    </w:p>
    <w:p>
      <w:pPr>
        <w:pStyle w:val="Heading2"/>
      </w:pPr>
      <w:r>
        <w:t>3.1 P0范围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在客户受控环境中部署；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支持告警Webhook、日志上传/粘贴和现场反馈；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支持系统、应用、网络、服务器硬件和动环五类事故；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支持来源健康、设备身份、降噪、恢复待验证、事故关联和责任分派；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支持规则＋知识基线、轻量混合RAG、可选真实模型和只读调查Agent；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支持角色化事件视图、证据链和最高管理员受控查看原文；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支持OMS工单快照、完整SN核对、操作许可、人工复核和成功/失败接单；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支持故障演练、六类接入实验室和生产近似沙盒；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支持知识、提示词、约束和模型版本的测试、发布与回滚。</w:t>
      </w:r>
    </w:p>
    <w:p>
      <w:pPr>
        <w:pStyle w:val="Heading2"/>
      </w:pPr>
      <w:r>
        <w:t>3.2 非目标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不替换现有监控、日志、资产、OMS、即时沟通和电话系统；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不读取客户源代码仓库；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不要求客户原始日志离开机房；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不自动登录未知设备或扫描未知目录；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不自动关机、重启、拔盘、拔线、改配置或执行网络变更；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不让AI批准现场操作、确认设备身份或最终认定责任；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不建立多Agent自治团队；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不自动拨打CC电话或接管后续通报；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不把模拟、公开数据或模型桩结果当成生产成绩。</w:t>
      </w:r>
    </w:p>
    <w:p>
      <w:pPr>
        <w:pStyle w:val="Heading1"/>
      </w:pPr>
      <w:r>
        <w:t>四、用户角色与使用目标</w:t>
      </w:r>
    </w:p>
    <w:p>
      <w:pPr>
        <w:pStyle w:val="Heading2"/>
      </w:pPr>
      <w:r>
        <w:t>4.1 IDC现场人员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查看分配给现场的事故、完整设备信息、下一步和停止条件；扫码、识别或完整输入现场SN；反馈现场观察；在获得许可和复核后开始操作；提交成功或失败结果。</w:t>
      </w:r>
    </w:p>
    <w:p>
      <w:pPr>
        <w:pStyle w:val="Heading2"/>
      </w:pPr>
      <w:r>
        <w:t>4.2 现场组长或复核人员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协调任务优先级；在白班组织双岗复核；夜间按授权机制远程复核或进入人工升级；查看超时、阻断和未完成任务。复核人可以是同级现场组员，不要求必须是组长，但不能与操作人使用同一账号。</w:t>
      </w:r>
    </w:p>
    <w:p>
      <w:pPr>
        <w:pStyle w:val="Heading2"/>
      </w:pPr>
      <w:r>
        <w:t>4.3 系统组/网络组接口人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查看系统或网络证据、业务状态和跨平台信号；提供或确认操作许可；与现场共同决定继续调查、转交、恢复确认或失败接单；不得通过口头模糊信息绕过完整设备核对。</w:t>
      </w:r>
    </w:p>
    <w:p>
      <w:pPr>
        <w:pStyle w:val="Heading2"/>
      </w:pPr>
      <w:r>
        <w:t>4.4 AI运营管理员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维护知识、提示词、约束、模型厂商、测试集和版本；运行检索测试、演练和沙盒；查看结构化RAG与Agent轨迹；不能默认突破查看原始敏感记录。</w:t>
      </w:r>
    </w:p>
    <w:p>
      <w:pPr>
        <w:pStyle w:val="Heading2"/>
      </w:pPr>
      <w:r>
        <w:t>4.5 最高审计管理员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拥有AI运营管理员能力；可以在填写访问原因并再次确认后受控查看指定原文、模型原始交换或隐藏答案；所有访问必须进入审计。</w:t>
      </w:r>
    </w:p>
    <w:p>
      <w:pPr>
        <w:pStyle w:val="Heading1"/>
      </w:pPr>
      <w:r>
        <w:t>五、信息架构与页面导航</w:t>
      </w:r>
    </w:p>
    <w:p>
      <w:pPr>
        <w:pStyle w:val="Heading2"/>
      </w:pPr>
      <w:r>
        <w:t>5.1 导航原则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故障处理、模拟验证、数据治理和现场操作分开；真实事件与模拟事件不混入同一默认队列；角色限制由页面和后端共同执行，而不是只隐藏按钮。</w:t>
      </w:r>
    </w:p>
    <w:p>
      <w:pPr>
        <w:pStyle w:val="Heading2"/>
      </w:pPr>
      <w:r>
        <w:t>5.2 一级页面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3200"/>
        <w:gridCol w:w="236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主要用途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主要角色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当前事实状态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故障中心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查看真实故障队列、优先级、状态与下一步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全部角色，字段按角色隔离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真实故障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粘贴日志或提交现场异常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现场、接口人、管理员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模拟案例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运行内置单页案例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管理员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数据来源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查看日志、告警、SigNoz和HolmesGPT连接状态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接口人、管理员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已实现并验证；真实连接待验证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告警治理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来源、身份、降噪、责任与公开数据测试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接口人、管理员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机房等级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标记核心、普通或未确认机房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现场组长、接口人、管理员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故障演练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定向演练、盲测、分支反馈与成绩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AI管理员、最高管理员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接入实验室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模拟六个平台、连锁事故、Agent和备份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AI管理员、最高管理员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已完成模拟验证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AI控制台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数据、知识、提示词、约束、模型、发布与审计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AI管理员、最高管理员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现场操作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OMS快照、身份、许可、复核和接单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现场、接口人、组长、管理员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已实现主体流程；必填校验待闭合</w:t>
            </w:r>
          </w:p>
        </w:tc>
      </w:tr>
    </w:tbl>
    <w:p>
      <w:pPr>
        <w:spacing w:after="20"/>
      </w:pPr>
    </w:p>
    <w:p>
      <w:pPr>
        <w:pStyle w:val="Heading2"/>
      </w:pPr>
      <w:r>
        <w:t>5.3 故障详情信息层级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首屏优先展示设备身份、当前判断、关键证据、责任门禁和下一步。详细内容分为处置步骤、AI分析与证据、沟通记录、原始日志和审计记录。普通角色默认只能查看结构化脱敏内容；最高管理员的原文访问单独进入受控流程。</w:t>
      </w:r>
    </w:p>
    <w:p>
      <w:pPr>
        <w:pStyle w:val="Heading1"/>
      </w:pPr>
      <w:r>
        <w:t>六、故障接入与事件建立</w:t>
      </w:r>
    </w:p>
    <w:p>
      <w:pPr>
        <w:pStyle w:val="Heading2"/>
      </w:pPr>
      <w:r>
        <w:t>6.1 通用告警接入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PRD-INC-001｜P0｜已实现并验证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系统应提供通用告警接口，接收机房、严重级别、设备身份、摘要、原文、事故标识和操作上下文。摘要与原文不能同时为空；严重级别只能归一为info、warning、critical或unknown。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b/>
          <w:color w:val="172B3A"/>
          <w:sz w:val="21"/>
        </w:rPr>
        <w:t>验收标准：</w:t>
      </w:r>
      <w:r>
        <w:rPr>
          <w:rFonts w:ascii="Arial Unicode MS" w:hAnsi="Arial Unicode MS" w:eastAsia="Arial Unicode MS"/>
          <w:color w:val="172B3A"/>
          <w:sz w:val="21"/>
        </w:rPr>
        <w:t xml:space="preserve"> 合法告警建立或关联事件并保留原始输入；非法严重级别归一为unknown；完全缺少摘要和原文时拒绝；每次接入保留接收时间、事件时间和来源。</w:t>
      </w:r>
    </w:p>
    <w:p>
      <w:pPr>
        <w:pStyle w:val="Heading2"/>
      </w:pPr>
      <w:r>
        <w:t>6.2 SigNoz/Alertmanager格式接入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PRD-INC-002｜P0｜已实现未接真实环境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系统应将SigNoz/Alertmanager风格载荷归一为统一输入。适配器存在不代表SigNoz已经部署、连通或采集到客户数据。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b/>
          <w:color w:val="172B3A"/>
          <w:sz w:val="21"/>
        </w:rPr>
        <w:t>验收标准：</w:t>
      </w:r>
      <w:r>
        <w:rPr>
          <w:rFonts w:ascii="Arial Unicode MS" w:hAnsi="Arial Unicode MS" w:eastAsia="Arial Unicode MS"/>
          <w:color w:val="172B3A"/>
          <w:sz w:val="21"/>
        </w:rPr>
        <w:t xml:space="preserve"> 模拟载荷可以归一并进入统一链路；未配置或查询失败时显示真实状态并写入证据链，不生成伪造查询结果。</w:t>
      </w:r>
    </w:p>
    <w:p>
      <w:pPr>
        <w:pStyle w:val="Heading2"/>
      </w:pPr>
      <w:r>
        <w:t>6.3 日志上传与粘贴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PRD-INC-003｜P0｜已实现并验证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用户可以粘贴或上传Linux、内核、磁盘、内存、网络、BMC和应用日志。页面必须提示输入的是原始现象，不要求用户先猜根因。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b/>
          <w:color w:val="172B3A"/>
          <w:sz w:val="21"/>
        </w:rPr>
        <w:t>验收标准：</w:t>
      </w:r>
      <w:r>
        <w:rPr>
          <w:rFonts w:ascii="Arial Unicode MS" w:hAnsi="Arial Unicode MS" w:eastAsia="Arial Unicode MS"/>
          <w:color w:val="172B3A"/>
          <w:sz w:val="21"/>
        </w:rPr>
        <w:t xml:space="preserve"> 输入保存为不可被模型覆盖的原始记录；日志中提取的事实与用户提供的SN、机架位等外部字段分别标记来源；无法识别时仍保留原文并输出知识覆盖不足。</w:t>
      </w:r>
    </w:p>
    <w:p>
      <w:pPr>
        <w:pStyle w:val="Heading2"/>
      </w:pPr>
      <w:r>
        <w:t>6.4 现场异常反馈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PRD-INC-004｜P0｜已实现并验证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现场可提交看到、听到、测到的异常，包括完整SN、机架位、UID、光功率、线缆状态和观察说明。现场反馈可以先于监控进入系统，也可以补充监控无法观察的物理现象。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b/>
          <w:color w:val="172B3A"/>
          <w:sz w:val="21"/>
        </w:rPr>
        <w:t>验收标准：</w:t>
      </w:r>
      <w:r>
        <w:rPr>
          <w:rFonts w:ascii="Arial Unicode MS" w:hAnsi="Arial Unicode MS" w:eastAsia="Arial Unicode MS"/>
          <w:color w:val="172B3A"/>
          <w:sz w:val="21"/>
        </w:rPr>
        <w:t xml:space="preserve"> 反馈形成独立输入并与事故关联；现场观察不自动升级为已确认根因；缺少完整身份时只能调查，不能推进危险操作。</w:t>
      </w:r>
    </w:p>
    <w:p>
      <w:pPr>
        <w:pStyle w:val="Heading2"/>
      </w:pPr>
      <w:r>
        <w:t>6.5 六类平台统一事件契约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PRD-INC-005｜P0｜已完成模拟验证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动环/DCIM、网络NMS、BMC/Redfish、Linux/应用、OMS/CMDB和现场反馈使用统一事件契约。必需字段为已登记来源平台、来源事件ID、机房编码、信号类型、事件摘要和合法严重级别。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b/>
          <w:color w:val="172B3A"/>
          <w:sz w:val="21"/>
        </w:rPr>
        <w:t>验收标准：</w:t>
      </w:r>
      <w:r>
        <w:rPr>
          <w:rFonts w:ascii="Arial Unicode MS" w:hAnsi="Arial Unicode MS" w:eastAsia="Arial Unicode MS"/>
          <w:color w:val="172B3A"/>
          <w:sz w:val="21"/>
        </w:rPr>
        <w:t xml:space="preserve"> 未知平台、缺少来源事件ID、缺少机房或摘要时拒绝；实体字段保留平台提供来源；实验室事件明确带模拟标记。</w:t>
      </w:r>
    </w:p>
    <w:p>
      <w:pPr>
        <w:pStyle w:val="Heading2"/>
      </w:pPr>
      <w:r>
        <w:t>6.6 数据隔离与标识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PRD-INC-006｜P0｜已实现并验证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真实、模拟、公开和沙盒数据必须使用不同标识、队列和数据库边界。模拟事件不得出现在默认真实故障队列；公开数据不得冒充客户现场。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b/>
          <w:color w:val="172B3A"/>
          <w:sz w:val="21"/>
        </w:rPr>
        <w:t>验收标准：</w:t>
      </w:r>
      <w:r>
        <w:rPr>
          <w:rFonts w:ascii="Arial Unicode MS" w:hAnsi="Arial Unicode MS" w:eastAsia="Arial Unicode MS"/>
          <w:color w:val="172B3A"/>
          <w:sz w:val="21"/>
        </w:rPr>
        <w:t xml:space="preserve"> 运行演练或沙盒前后，生产事件库写入量符合隔离设计；页面所有模拟内容可见标识；隐藏答案库与运行库物理分离。</w:t>
      </w:r>
    </w:p>
    <w:p>
      <w:pPr>
        <w:pStyle w:val="Heading1"/>
      </w:pPr>
      <w:r>
        <w:t>七、告警治理与事故关联</w:t>
      </w:r>
    </w:p>
    <w:p>
      <w:pPr>
        <w:pStyle w:val="Heading2"/>
      </w:pPr>
      <w:r>
        <w:t>7.1 来源健康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PRD-GOV-001｜P0｜已实现并验证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系统记录每个来源的连接状态、最后接收时间、延迟、错误和数据质量。来源断开、权限不足或结构无效时不得假装数据正常。</w:t>
      </w:r>
    </w:p>
    <w:p>
      <w:pPr>
        <w:pStyle w:val="Heading2"/>
      </w:pPr>
      <w:r>
        <w:t>7.2 确定性设备身份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PRD-GOV-002｜P0｜已实现并验证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设备身份优先使用完整SN和权威资产字段。多个来源对SN、机架位、设备名、BMC IP或网络端口产生冲突时，建立身份冲突并阻断相关现场操作，直到有权人员处理。</w:t>
      </w:r>
    </w:p>
    <w:p>
      <w:pPr>
        <w:pStyle w:val="Heading2"/>
      </w:pPr>
      <w:r>
        <w:t>7.3 去重、恢复与重新出现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PRD-GOV-003｜P0｜已实现并验证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相同来源和确定性实体的重复告警增加出现次数，不重复建立事故。恢复信号将告警标记为recovered并进入业务验证，不直接关闭事故；旧告警过期后新一轮故障可以重新建立活动告警。</w:t>
      </w:r>
    </w:p>
    <w:p>
      <w:pPr>
        <w:pStyle w:val="Heading2"/>
      </w:pPr>
      <w:r>
        <w:t>7.4 维护静默与上游抑制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PRD-GOV-004｜P0｜已实现并验证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处于有效维护窗口的信号标记为silenced；已经明确由上游故障解释的下游告警标记为suppressed。上游恢复或维护结束后，仍在发生的信号允许重新打开。</w:t>
      </w:r>
    </w:p>
    <w:p>
      <w:pPr>
        <w:pStyle w:val="Heading2"/>
      </w:pPr>
      <w:r>
        <w:t>7.5 责任分派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PRD-GOV-005｜P0｜已实现并验证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事故可分派给具体人员和团队，支持确认收到、延期和升级。夜间只有一人值班时，值班人员可以填写正在处理更紧急任务的延期原因；系统记录责任链，不代替人工决定优先级。</w:t>
      </w:r>
    </w:p>
    <w:p>
      <w:pPr>
        <w:pStyle w:val="Heading2"/>
      </w:pPr>
      <w:r>
        <w:t>7.6 人工纠正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PRD-GOV-006｜P0｜已实现并验证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接口人或管理员可以依据现场或平台证据纠正归并、身份或责任结果。纠正必须填写原因，原决定不得被物理删除。</w:t>
      </w:r>
    </w:p>
    <w:p>
      <w:pPr>
        <w:pStyle w:val="Heading2"/>
      </w:pPr>
      <w:r>
        <w:t>7.7 事故关联规则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PRD-COR-001｜P0｜已实现并验证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存在明确事故号时可归入同一事故，但共享事故号只证明属于同一处理范围，不等于已经证明共同根因。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PRD-COR-002｜P0｜已实现并验证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没有共同事故号时，仅当准确设备身份、已登记拓扑、时间窗口和信号兼容性同时支持时才允许跨平台归并。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PRD-COR-003｜P0｜已实现并验证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只凭文本相似、设备名近似、SN末位或模型判断不得自动合并。证据不足时保留独立事故或标记待人工确认。</w:t>
      </w:r>
    </w:p>
    <w:p>
      <w:pPr>
        <w:pStyle w:val="Heading1"/>
      </w:pPr>
      <w:r>
        <w:t>八、AI调查、RAG与证据链</w:t>
      </w:r>
    </w:p>
    <w:p>
      <w:pPr>
        <w:pStyle w:val="Heading2"/>
      </w:pPr>
      <w:r>
        <w:t>8.1 可审计调查链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PRD-AI-001｜P0｜已实现并验证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每次分析保存八类可见步骤：输入接收、事实提取、知识检索、候选形成、模型输入、模型输出、硬校验和最终结论。模型未启用时，模型步骤标记not_run，不得显示为AI已执行。</w:t>
      </w:r>
    </w:p>
    <w:p>
      <w:pPr>
        <w:pStyle w:val="Heading2"/>
      </w:pPr>
      <w:r>
        <w:t>8.2 轻量混合RAG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PRD-AI-002｜P0｜已实现并验证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系统从已发布知识版本中按事实、关键词、规则标签和本地向量辅助召回知识，并展示命中原因、知识版本、适用限制、禁止推断和停止条件。当前本地向量能力不等同于预训练语义Embedding模型。</w:t>
      </w:r>
    </w:p>
    <w:p>
      <w:pPr>
        <w:pStyle w:val="Heading2"/>
      </w:pPr>
      <w:r>
        <w:t>8.3 竞争原因与反证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PRD-AI-003｜P0｜已实现并验证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分析不得只给一个看似确定的答案。至少保留竞争原因、支持证据、已知反证条件、缺失证据和可证伪检查；知识覆盖不足时输出证据不足。</w:t>
      </w:r>
    </w:p>
    <w:p>
      <w:pPr>
        <w:pStyle w:val="Heading2"/>
      </w:pPr>
      <w:r>
        <w:t>8.4 结论等级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PRD-AI-004｜P0｜已实现并验证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结论使用已确认事实、高可能候选、调查候选和证据不足等分级。模型不得在没有工具或确定性证据时创建confirmed；模型产生的高可能候选仍不等于现场操作授权。</w:t>
      </w:r>
    </w:p>
    <w:p>
      <w:pPr>
        <w:pStyle w:val="Heading2"/>
      </w:pPr>
      <w:r>
        <w:t>8.5 可选真实模型增强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PRD-AI-005｜P0｜已实现未接真实环境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默认关闭外部模型。只有显式授权并配置兼容接口后才可发送脱敏后的事实、证据、知识和基线候选。模型返回必须通过结构、证据ID和危险建议校验；失败时保留规则＋知识结果。</w:t>
      </w:r>
    </w:p>
    <w:p>
      <w:pPr>
        <w:pStyle w:val="Heading2"/>
      </w:pPr>
      <w:r>
        <w:t>8.6 只读调查Agent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PRD-AI-006｜P0｜已实现未接真实环境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Agent只能在已登记白名单内选择只读工具，查询固定绑定当前事故ID，不允许临时猜测SN、机架位、端口或拓扑。测试模型桩只验证协议和工具链，必须标记“非真实AI”。</w:t>
      </w:r>
    </w:p>
    <w:p>
      <w:pPr>
        <w:pStyle w:val="Heading2"/>
      </w:pPr>
      <w:r>
        <w:t>8.7 轨迹可见性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PRD-AI-007｜P0｜已实现并验证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普通作业角色查看证据、工具结果和结论依据；AI管理员查看结构化RAG/Agent轨迹；最高管理员在填写原因并再次确认后可以查看指定原始平台载荷、模型消息或原始响应。系统不展示模型私有思维过程。</w:t>
      </w:r>
    </w:p>
    <w:p>
      <w:pPr>
        <w:pStyle w:val="Heading2"/>
      </w:pPr>
      <w:r>
        <w:t>8.8 规则基线降级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PRD-AI-008｜P0｜已实现并验证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模型未配置、超时、输出无效或工具失败时，事件接入、规则、知识检索、人工协同和现场门禁仍可工作；页面必须显示降级原因。</w:t>
      </w:r>
    </w:p>
    <w:p>
      <w:pPr>
        <w:pStyle w:val="Heading1"/>
      </w:pPr>
      <w:r>
        <w:t>九、接口人协同与现场反馈</w:t>
      </w:r>
    </w:p>
    <w:p>
      <w:pPr>
        <w:pStyle w:val="Heading2"/>
      </w:pPr>
      <w:r>
        <w:t>9.1 按角色生成下一步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PRD-COL-001｜P0｜已实现并验证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系统根据事故专业、责任角色、证据状态和操作门禁生成不同的下一步：网络组查看端口、模块和链路证据；系统组查看主机、BMC、操作系统和业务运行证据；现场人员只接收可以执行、需要观察或需要补充的信息；管理角色查看影响、进展和升级状态。不同角色不得只看到同一份无差别页面。</w:t>
      </w:r>
    </w:p>
    <w:p>
      <w:pPr>
        <w:pStyle w:val="Heading2"/>
      </w:pPr>
      <w:r>
        <w:t>9.2 接口人联络与沟通纪要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PRD-COL-002｜P0｜已实现并验证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事故支持记录接口人、现场响应人、实际操作人和协同人员。大群喊机房、现场回应和后续一对一沟通可作为外部沟通事实录入，但产品当前不直接控制如流会话。沟通纪要必须区分原话、结构化事实和AI摘要。</w:t>
      </w:r>
    </w:p>
    <w:p>
      <w:pPr>
        <w:pStyle w:val="Heading2"/>
      </w:pPr>
      <w:r>
        <w:t>9.3 现场主动发现入口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PRD-COL-003｜P0｜已实现并验证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现场人员可提交监控尚未覆盖的异常，包括异味、异响、指示灯、漏水、局部温升、松动、标签不一致和肉眼可见的物理异常。现场反馈进入统一事故档案，不能仅停留在聊天窗口。</w:t>
      </w:r>
    </w:p>
    <w:p>
      <w:pPr>
        <w:pStyle w:val="Heading2"/>
      </w:pPr>
      <w:r>
        <w:t>9.4 现场补充证据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PRD-COL-004｜P0｜已实现并验证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现场可补充完整SN、机架位、设备名、UID灯状态、光功率读数、线缆或模块更换结果、三网验证结果等。数值型证据需保留单位、测量点、时间和记录人；系统不得仅凭数值外观自动判定正常。</w:t>
      </w:r>
    </w:p>
    <w:p>
      <w:pPr>
        <w:pStyle w:val="Heading2"/>
      </w:pPr>
      <w:r>
        <w:t>9.5 暂停与阻断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PRD-COL-005｜P0｜已实现并验证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出现身份不一致、标签异常、操作许可不明、供电影响不明、现场条件不安全或双岗复核未完成时，现场人员可暂停操作。暂停必须保留原因、时间和等待对象，不应被计为无解释超时。</w:t>
      </w:r>
    </w:p>
    <w:p>
      <w:pPr>
        <w:pStyle w:val="Heading2"/>
      </w:pPr>
      <w:r>
        <w:t>9.6 恢复验证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PRD-COL-006｜P0｜已实现并验证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设备重新可达只是恢复证据之一。网络类事故至少记录链路或端口恢复，服务器类事故至少记录约定的网络或服务验证；无法验证业务时必须标记“基础设施已恢复、业务待接口人确认”，不得直接宣告全量恢复。</w:t>
      </w:r>
    </w:p>
    <w:p>
      <w:pPr>
        <w:pStyle w:val="Heading2"/>
      </w:pPr>
      <w:r>
        <w:t>9.7 经验沉淀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PRD-COL-007｜P1｜已实现并验证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处理完成后，AI可将新的处理路径整理为待审核经验，但不得删除或覆盖旧经验。多种有效路径按设备型号、版本、环境和前置条件并存；只有知识管理员审核、去重并发布后，才进入正式检索范围。</w:t>
      </w:r>
    </w:p>
    <w:p>
      <w:pPr>
        <w:pStyle w:val="Heading1"/>
      </w:pPr>
      <w:r>
        <w:t>十、OMS工单与现场操作闭环</w:t>
      </w:r>
    </w:p>
    <w:p>
      <w:pPr>
        <w:pStyle w:val="Heading2"/>
      </w:pPr>
      <w:r>
        <w:t>10.1 建立操作记录的四个必填项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PRD-OPS-001｜P0｜规划能力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从OMS工单建立操作记录时，OMS工单号、目标完整SN、机架位、是否从重装中发起必须全部由用户确认后才能进入下一步。页面显示红色星号和“必填”，缺失或无效时在字段附近提示并将焦点移至首个错误字段。当前后端尚未强制校验“是否从重装中发起”，页面也存在默认值，因此该项是生产前必须关闭的P0差距。</w:t>
      </w:r>
    </w:p>
    <w:p>
      <w:pPr>
        <w:pStyle w:val="Heading2"/>
      </w:pPr>
      <w:r>
        <w:t>10.2 OMS历史快照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PRD-OPS-002｜P0｜已实现并验证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操作记录创建时保存工单字段快照。后续OMS或资产数据变化不得静默改写历史记录；发生变化时保存新版本和差异，用于追责与复盘。</w:t>
      </w:r>
    </w:p>
    <w:p>
      <w:pPr>
        <w:pStyle w:val="Heading2"/>
      </w:pPr>
      <w:r>
        <w:t>10.3 完整SN与机架位校验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PRD-OPS-003｜P0｜已实现并验证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现场必须输入、扫码或识别完整SN，不接受末位数替代。系统将现场SN、工单SN、资产SN和机架位进行确定性比对；任一关键身份不一致时阻断操作，并要求联系接口人确认。</w:t>
      </w:r>
    </w:p>
    <w:p>
      <w:pPr>
        <w:pStyle w:val="Heading2"/>
      </w:pPr>
      <w:r>
        <w:t>10.4 SN采集方式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PRD-OPS-004｜P1｜已实现未接真实环境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支持条码、二维码、局部SN照片OCR和手工输入。拍摄范围应只包含SN标签区域，避免采集无关机房信息；当前仅验证浏览器与模拟设备流程，真实终端摄像头、弱光、标签破损和扫码枪兼容性需现场试点验证。</w:t>
      </w:r>
    </w:p>
    <w:p>
      <w:pPr>
        <w:pStyle w:val="Heading2"/>
      </w:pPr>
      <w:r>
        <w:t>10.5 操作许可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PRD-OPS-005｜P0｜已实现并验证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是否从重装中发起与操作许可是两类字段。工单明确从重装中发起且策略允许时，可按既定流程操作；否则必须获得接口人对断电、重启、抽出设备、热插拔或影响业务操作的明确许可。AI不得代替接口人授予许可。</w:t>
      </w:r>
    </w:p>
    <w:p>
      <w:pPr>
        <w:pStyle w:val="Heading2"/>
      </w:pPr>
      <w:r>
        <w:t>10.6 双岗或远程复核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PRD-OPS-006｜P0｜已实现并验证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工作日具备两名现场人员时，操作人和同级复核人共同核对完整SN、机架位、设备和动作，不要求复核人必须是组长。单人值班时可发起远程授权复核，由有权限人员结合工单和SN证据确认。复核记录与操作责任分开保存。</w:t>
      </w:r>
    </w:p>
    <w:p>
      <w:pPr>
        <w:pStyle w:val="Heading2"/>
      </w:pPr>
      <w:r>
        <w:t>10.7 夜间无人即时复核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PRD-OPS-007｜P0｜已实现并验证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非紧急工单进入等待复核，不因等待而绕过门禁；紧急工单由现场按组织通讯录人工电话联系授权责任人，并记录授权人、时间、方式和结论。产品当前只给出升级提示，不自动拨号，也不把AI判断视为人工授权。</w:t>
      </w:r>
    </w:p>
    <w:p>
      <w:pPr>
        <w:pStyle w:val="Heading2"/>
      </w:pPr>
      <w:r>
        <w:t>10.8 开始操作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PRD-OPS-008｜P0｜已实现并验证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只有身份、许可和复核全部通过后，用户才可点击“开始操作”，并在确认后进入operating。开始时间、操作人、工单快照和门禁证据写入审计记录。</w:t>
      </w:r>
    </w:p>
    <w:p>
      <w:pPr>
        <w:pStyle w:val="Heading2"/>
      </w:pPr>
      <w:r>
        <w:t>10.9 分步处理与提前恢复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PRD-OPS-009｜P0｜已实现并验证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调查路径不是必须走到底的固定脚本。每完成一步都进行恢复检查；例如网络组已确定模块故障时可直接更换模块，更换后恢复即结束；未恢复才继续检查端口、线缆、对端或上游。AI提供按证据排序的下一步，不强制执行无必要步骤。</w:t>
      </w:r>
    </w:p>
    <w:p>
      <w:pPr>
        <w:pStyle w:val="Heading2"/>
      </w:pPr>
      <w:r>
        <w:t>10.10 操作结束与结果确认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PRD-OPS-010｜P0｜已实现并验证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用户点击“结束操作”后必须选择成功或失败、故障详情和结果原因，并填写详情后再次确认。更换备件时支持记录上线SN和下线SN；成功需记录约定的恢复验证，失败需记录现场已完成的动作、未解决现象和移交对象。</w:t>
      </w:r>
    </w:p>
    <w:p>
      <w:pPr>
        <w:pStyle w:val="Heading2"/>
      </w:pPr>
      <w:r>
        <w:t>10.11 失败接单与再次派单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PRD-OPS-011｜P0｜已实现并验证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现场已完成可执行动作但问题仍未解决时，可以失败结束并移交系统组或网络组。后续同一SN再次派单时，系统展示历史失败原因、已做动作和证据，提醒避免机械重复，但不得自动拒绝新工单。</w:t>
      </w:r>
    </w:p>
    <w:p>
      <w:pPr>
        <w:pStyle w:val="Heading2"/>
      </w:pPr>
      <w:r>
        <w:t>10.12 操作历史与资产追溯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PRD-OPS-012｜P0｜已实现并验证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按OMS工单号、完整SN、设备名、机架位和事故编号均可查询历史。记录包含开始、暂停、恢复、完成、反馈、备件SN和人工确认等事件；历史记录不可直接删除。</w:t>
      </w:r>
    </w:p>
    <w:p>
      <w:pPr>
        <w:pStyle w:val="Heading2"/>
      </w:pPr>
      <w:r>
        <w:t>10.13 时效与超时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PRD-OPS-013｜P1｜部分实现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当前支持保存超时原因；生产版需接入实际工单时效规则，在未开始和操作中分别提醒，并将“等待接口人、等待复核、正在处理更高优先级事故”等合法等待从无解释超时中区分。具体阈值由客户策略配置，PRD不假设固定两小时。</w:t>
      </w:r>
    </w:p>
    <w:p>
      <w:pPr>
        <w:pStyle w:val="Heading1"/>
      </w:pPr>
      <w:r>
        <w:t>十一、动环与CC通报提示</w:t>
      </w:r>
    </w:p>
    <w:p>
      <w:pPr>
        <w:pStyle w:val="Heading2"/>
      </w:pPr>
      <w:r>
        <w:t>11.1 机房等级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PRD-CC-001｜P0｜已实现并验证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机房资产包含核心、普通和未知等级。模拟环境可人工标记，生产环境以资产或授权配置为准；等级未知时不得按普通机房静默放行。</w:t>
      </w:r>
    </w:p>
    <w:p>
      <w:pPr>
        <w:pStyle w:val="Heading2"/>
      </w:pPr>
      <w:r>
        <w:t>11.2 CC确定性矩阵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PRD-CC-002｜P0｜已实现并验证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核心机房单路掉电、双路掉电、漏水造成核心设备宕机、核心交换机大范围中断等情形触发“需要CC通报”提示。普通机房单路掉电或未影响线上设备的轻微漏水通常进入正常协同；普通机房双路掉电、火情烟雾、影响范围不清等进入人工确认。</w:t>
      </w:r>
    </w:p>
    <w:p>
      <w:pPr>
        <w:pStyle w:val="Heading2"/>
      </w:pPr>
      <w:r>
        <w:t>11.3 CC只做首次提醒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PRD-CC-003｜P0｜已实现并验证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系统在首次判定后立即提示现场按现有SOP在规定时限内拨打CC，展示可复制的首次通报事实。产品不介入后续固定电话通报流程，不自动拨号，也不代替值班人员判断现场安全。</w:t>
      </w:r>
    </w:p>
    <w:p>
      <w:pPr>
        <w:pStyle w:val="Heading2"/>
      </w:pPr>
      <w:r>
        <w:t>11.4 影响范围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PRD-CC-004｜P0｜已实现并验证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CC判断必须展示机房等级、事件类型、已知设备影响、影响范围和使用的规则版本。仅凭“高温”“漏水”或“掉电”单一词语不得无条件触发同一结论。</w:t>
      </w:r>
    </w:p>
    <w:p>
      <w:pPr>
        <w:pStyle w:val="Heading2"/>
      </w:pPr>
      <w:r>
        <w:t>11.5 动环与业务交叉确认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PRD-CC-005｜P1｜已实现未接真实环境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动环异常可与网络、BMC、Linux和现场反馈进行关联，帮助识别温升、供电或漏水造成的多设备事故。生产环境需要真实DCIM、BMC和资产拓扑后才能确认实际影响。</w:t>
      </w:r>
    </w:p>
    <w:p>
      <w:pPr>
        <w:pStyle w:val="Heading1"/>
      </w:pPr>
      <w:r>
        <w:t>十二、接入实验室、故障演练与沙盒验证</w:t>
      </w:r>
    </w:p>
    <w:p>
      <w:pPr>
        <w:pStyle w:val="Heading2"/>
      </w:pPr>
      <w:r>
        <w:t>12.1 接入实验室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PRD-LAB-001｜P0｜已实现并验证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开发者和AI管理员可单独模拟动环DCIM、网络NMS、BMC/Redfish、Linux/应用、OMS/CMDB和现场反馈。每个平台可设置已连接、断开、降级、延迟、无权限和无效载荷，用于验证部分接通情况下的系统行为。</w:t>
      </w:r>
    </w:p>
    <w:p>
      <w:pPr>
        <w:pStyle w:val="Heading2"/>
      </w:pPr>
      <w:r>
        <w:t>12.2 手工粘贴与自动接口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PRD-LAB-002｜P0｜已实现并验证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同一标准接入契约同时支持人工粘贴日志、文件导入和接口推送。手工数据必须标记来源和操作人；真实接口必须保留平台标识、采集时间、接收时间和原始载荷引用。</w:t>
      </w:r>
    </w:p>
    <w:p>
      <w:pPr>
        <w:pStyle w:val="Heading2"/>
      </w:pPr>
      <w:r>
        <w:t>12.3 故障案例库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PRD-DRL-001｜P0｜已实现并验证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案例按系统、网络、动环、现场和跨域分类，并拆分为可单独触发的具体故障，例如模块故障、端口抖动、NVMe超时、内存异常、温升和供电中断。案例名称是演练答案，盲测模式不得向参与者提前暴露。</w:t>
      </w:r>
    </w:p>
    <w:p>
      <w:pPr>
        <w:pStyle w:val="Heading2"/>
      </w:pPr>
      <w:r>
        <w:t>12.4 定向演练与盲测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PRD-DRL-002｜P0｜已实现并验证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定向演练展示故障名称，适合演示；盲测只展示现象和逐步到达的信号，适合评估。两者均必须通过真实的接入、标准化、治理、关联、调查和处置链路，不能直接生成答案页面。</w:t>
      </w:r>
    </w:p>
    <w:p>
      <w:pPr>
        <w:pStyle w:val="Heading2"/>
      </w:pPr>
      <w:r>
        <w:t>12.5 单步推进与提前终止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PRD-DRL-003｜P0｜已实现并验证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演练支持自动推进、每次一步和等待人工三种方式。每一步后检查是否已经恢复；已恢复立即结束，未恢复才进入后续检查。终态包括已解决、已移交、证据不足、操作受阻、误报和已终止。</w:t>
      </w:r>
    </w:p>
    <w:p>
      <w:pPr>
        <w:pStyle w:val="Heading2"/>
      </w:pPr>
      <w:r>
        <w:t>12.6 演练与生产隔离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PRD-DRL-004｜P0｜已实现并验证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模拟数据、公开测试数据和生产数据在界面、存储标记和审计中明确隔离。演练不得查询或操作真实设备；演练结论不得计入生产准确率。</w:t>
      </w:r>
    </w:p>
    <w:p>
      <w:pPr>
        <w:pStyle w:val="Heading2"/>
      </w:pPr>
      <w:r>
        <w:t>12.7 测试集与评分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PRD-DRL-005｜P0｜部分实现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系统保存案例输入、隐藏答案、期望证据、允许结论和危险动作禁区。当前可验证流程与规则，生产前还需扩充公开脱敏数据、设备厂商样例和客户沙盒数据，并由未看答案的评测流程计算定位、证据引用、拒答和安全门禁指标。</w:t>
      </w:r>
    </w:p>
    <w:p>
      <w:pPr>
        <w:pStyle w:val="Heading1"/>
      </w:pPr>
      <w:r>
        <w:t>十三、AI控制台、知识资产与发布治理</w:t>
      </w:r>
    </w:p>
    <w:p>
      <w:pPr>
        <w:pStyle w:val="Heading2"/>
      </w:pPr>
      <w:r>
        <w:t>13.1 AI管理员工作台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PRD-AIC-001｜P0｜已实现并验证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AI管理员和最高管理员可查看数据资产、RAG知识、提示词、约束、模型配置、评测集、运行轨迹和发布记录；普通现场、系统和网络角色不得进入该工作台。</w:t>
      </w:r>
    </w:p>
    <w:p>
      <w:pPr>
        <w:pStyle w:val="Heading2"/>
      </w:pPr>
      <w:r>
        <w:t>13.2 数据资产目录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PRD-AIC-002｜P0｜已实现并验证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数据资产按来源、专业、对象、用途、敏感级别、保留期限、质量状态和负责人编目。原始证据、结构化事实、知识、提示词、评测集和审计记录不能混为一个无类型数据库。</w:t>
      </w:r>
    </w:p>
    <w:p>
      <w:pPr>
        <w:pStyle w:val="Heading2"/>
      </w:pPr>
      <w:r>
        <w:t>13.3 知识去重与版本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PRD-AIC-003｜P0｜已实现并验证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知识导入时进行精确重复、近似重复和适用范围冲突检查。重复内容可以引用或合并，但历史版本不可丢失；设备型号、软件版本或环境不同的有效经验允许并存。</w:t>
      </w:r>
    </w:p>
    <w:p>
      <w:pPr>
        <w:pStyle w:val="Heading2"/>
      </w:pPr>
      <w:r>
        <w:t>13.4 知识生命周期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PRD-AIC-004｜P0｜已实现并验证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知识经历草稿、待审核、已发布、已停用和已归档。只有已发布版本参与生产检索；停用不等于删除，历史事故继续引用当时版本。</w:t>
      </w:r>
    </w:p>
    <w:p>
      <w:pPr>
        <w:pStyle w:val="Heading2"/>
      </w:pPr>
      <w:r>
        <w:t>13.5 提示词与约束管理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PRD-AIC-005｜P0｜已实现并验证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系统提示词、任务提示词、输出结构、硬约束和工具权限分别管理。用户可在草稿环境编辑和调试；提示词不能覆盖完整SN、人工许可、证据引用和禁止危险操作等硬约束。</w:t>
      </w:r>
    </w:p>
    <w:p>
      <w:pPr>
        <w:pStyle w:val="Heading2"/>
      </w:pPr>
      <w:r>
        <w:t>13.6 模型厂商与路由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PRD-AIC-006｜P1｜已实现未接真实环境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模型接口使用可替换的兼容层，允许未来接入本地模型或合作模型厂商。模型版本、调用目的、数据边界、超时和降级策略均需配置；切换厂商前必须重新评测，不能假设等价。</w:t>
      </w:r>
    </w:p>
    <w:p>
      <w:pPr>
        <w:pStyle w:val="Heading2"/>
      </w:pPr>
      <w:r>
        <w:t>13.7 草稿、沙盒与上线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PRD-AIC-007｜P0｜已实现并验证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知识、提示词、规则和模型配置的修改先进入草稿，再进入沙盒测试，通过确认后发布。当前试制版使用两次明确确认防误碰；正式版支持双人审批。上线动作与编辑权限分离。</w:t>
      </w:r>
    </w:p>
    <w:p>
      <w:pPr>
        <w:pStyle w:val="Heading2"/>
      </w:pPr>
      <w:r>
        <w:t>13.8 回滚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PRD-AIC-008｜P0｜已实现并验证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每次发布生成不可变版本和变更说明。出现错误时可回滚到上一已知可用版本；回滚不删除失败版本及其运行记录。</w:t>
      </w:r>
    </w:p>
    <w:p>
      <w:pPr>
        <w:pStyle w:val="Heading2"/>
      </w:pPr>
      <w:r>
        <w:t>13.9 资产健康治理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PRD-AIC-009｜P1｜已实现并验证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治理页面展示重复、过期、无负责人、无来源、冲突、长期未命中和低质量资产。系统可建议处置，不自动删除知识或证据。</w:t>
      </w:r>
    </w:p>
    <w:p>
      <w:pPr>
        <w:pStyle w:val="Heading1"/>
      </w:pPr>
      <w:r>
        <w:t>十四、安全、权限、异常与降级</w:t>
      </w:r>
    </w:p>
    <w:p>
      <w:pPr>
        <w:pStyle w:val="Heading2"/>
      </w:pPr>
      <w:r>
        <w:t>14.1 最小权限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PRD-SEC-001｜P0｜已实现并验证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角色只可查看完成当前任务所需的信息。现场人员不能查看模型密钥、全量原始日志或治理配置；AI管理员不能因此自动获得现场操作许可；最高管理员的高敏查看仍需理由和审计。</w:t>
      </w:r>
    </w:p>
    <w:p>
      <w:pPr>
        <w:pStyle w:val="Heading2"/>
      </w:pPr>
      <w:r>
        <w:t>14.2 原始数据突破玻璃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PRD-SEC-002｜P0｜已实现并验证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查看原始平台载荷、模型原文或敏感证据时，最高管理员必须选择范围、填写原因并再次确认。系统记录查看人、时间、对象和原因；结束后不扩大持续权限。</w:t>
      </w:r>
    </w:p>
    <w:p>
      <w:pPr>
        <w:pStyle w:val="Heading2"/>
      </w:pPr>
      <w:r>
        <w:t>14.3 客户数据不出域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PRD-SEC-003｜P0｜生产约束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原始日志默认在客户授权环境内处理和保存。接入外部模型前必须根据客户政策进行脱敏、最小化和许可校验；无授权时使用本地规则、知识或本地模型，不将日志带离机房或客户域。</w:t>
      </w:r>
    </w:p>
    <w:p>
      <w:pPr>
        <w:pStyle w:val="Heading2"/>
      </w:pPr>
      <w:r>
        <w:t>14.4 失败可见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PRD-ERR-001｜P0｜已实现并验证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连接失败、权限不足、数据格式错误、工具超时、知识无命中、模型未运行和模型输出无效必须显示不同原因，不能统一显示“分析成功”或只出现Failed to fetch。</w:t>
      </w:r>
    </w:p>
    <w:p>
      <w:pPr>
        <w:pStyle w:val="Heading2"/>
      </w:pPr>
      <w:r>
        <w:t>14.5 幂等与重复事件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PRD-ERR-002｜P0｜已实现并验证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相同平台事件重复到达时不重复创建事故；是否为重复由来源ID、事件ID和接收契约判断，不由模型猜测。冲突更新保留版本并进入治理。</w:t>
      </w:r>
    </w:p>
    <w:p>
      <w:pPr>
        <w:pStyle w:val="Heading2"/>
      </w:pPr>
      <w:r>
        <w:t>14.6 部分平台不可用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PRD-ERR-003｜P0｜已实现并验证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部分接入断开时，已接通平台继续工作并显示证据缺口。系统可以输出候选和下一项只读查询，但不得把缺失数据推断成正常。</w:t>
      </w:r>
    </w:p>
    <w:p>
      <w:pPr>
        <w:pStyle w:val="Heading2"/>
      </w:pPr>
      <w:r>
        <w:t>14.7 本地持久化与备份边界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PRD-ERR-004｜P1｜部分实现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当前实现具备本地数据持久化和导出能力。生产版至少备份事故、知识、提示词、规则版本、操作记录和审计；应用程序可重建，但恢复时间、备份频率、异地副本和演练机制需由部署方案确定。</w:t>
      </w:r>
    </w:p>
    <w:p>
      <w:pPr>
        <w:pStyle w:val="Heading2"/>
      </w:pPr>
      <w:r>
        <w:t>14.8 审计不可抵赖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PRD-SEC-004｜P0｜已实现并验证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重要动作记录主体、角色、对象、前后值、时间、来源和理由。编辑、发布、授权、现场操作、原始数据查看和人工纠正均进入审计链。</w:t>
      </w:r>
    </w:p>
    <w:p>
      <w:pPr>
        <w:pStyle w:val="Heading1"/>
      </w:pPr>
      <w:r>
        <w:t>十五、非功能要求与生产试点门槛</w:t>
      </w:r>
    </w:p>
    <w:p>
      <w:pPr>
        <w:pStyle w:val="Heading2"/>
      </w:pPr>
      <w:r>
        <w:t>15.1 可用性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PRD-NFR-001｜P0｜验收要求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现场关键页面应在常用值班终端的单屏内展示优先级、对象、下一步和门禁状态；详情采用分区、页签或抽屉，避免一条页面无限向下延伸。关键按钮使用明确动词，不以单字或内部术语替代。</w:t>
      </w:r>
    </w:p>
    <w:p>
      <w:pPr>
        <w:pStyle w:val="Heading2"/>
      </w:pPr>
      <w:r>
        <w:t>15.2 可访问性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PRD-NFR-002｜P0｜验收要求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表单具有可关联标签、键盘操作、清晰焦点、颜色之外的状态表达和字段级错误提示。必填项既有视觉标记也有程序语义。</w:t>
      </w:r>
    </w:p>
    <w:p>
      <w:pPr>
        <w:pStyle w:val="Heading2"/>
      </w:pPr>
      <w:r>
        <w:t>15.3 性能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PRD-NFR-003｜P0｜试点测量项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页面响应、事件接入、规则判断、RAG检索和模型增强分别测量。正式目标由试点基础设施和数据量基线确定；在没有真实规模测试前，PRD不承诺固定秒数或吞吐量。</w:t>
      </w:r>
    </w:p>
    <w:p>
      <w:pPr>
        <w:pStyle w:val="Heading2"/>
      </w:pPr>
      <w:r>
        <w:t>15.4 容量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PRD-NFR-004｜P0｜试点测量项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容量验证覆盖约十万级服务器资产目录、日均约二十张现场工单、跨多个机房的系统组和网络组值班场景，以及突发多设备事故。该描述用于设计测试规模，不代表当前原型已完成同规模压测。</w:t>
      </w:r>
    </w:p>
    <w:p>
      <w:pPr>
        <w:pStyle w:val="Heading2"/>
      </w:pPr>
      <w:r>
        <w:t>15.5 可靠性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PRD-NFR-005｜P0｜验收要求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事件重复、乱序、延迟、部分平台断开和模型不可用不得破坏操作门禁或历史证据。关键写入必须可重试且保持幂等。</w:t>
      </w:r>
    </w:p>
    <w:p>
      <w:pPr>
        <w:pStyle w:val="Heading2"/>
      </w:pPr>
      <w:r>
        <w:t>15.6 可解释与可追溯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PRD-NFR-006｜P0｜验收要求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任何事故结论均可追到原始来源引用、结构化事实、命中知识版本、规则或模型版本、硬校验和人工决定。没有证据的自然语言解释不算可追溯。</w:t>
      </w:r>
    </w:p>
    <w:p>
      <w:pPr>
        <w:pStyle w:val="Heading2"/>
      </w:pPr>
      <w:r>
        <w:t>15.7 安全与隐私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PRD-NFR-007｜P0｜生产门槛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完成部署域、账号、权限、数据分级、密钥、保留期、备份、漏洞和应急方案评审后，方可处理生产数据。公开数据和模拟数据通过不等于生产安全通过。</w:t>
      </w:r>
    </w:p>
    <w:p>
      <w:pPr>
        <w:pStyle w:val="Heading2"/>
      </w:pPr>
      <w:r>
        <w:t>15.8 生产试点退出标准</w:t>
      </w:r>
    </w:p>
    <w:p>
      <w:pPr>
        <w:keepNext/>
        <w:spacing w:before="40" w:after="80"/>
        <w:shd w:fill="EAF5F3"/>
        <w:pBdr>
          <w:left w:val="single" w:sz="18" w:space="6" w:color="1C9A91"/>
        </w:pBdr>
      </w:pPr>
      <w:r>
        <w:rPr>
          <w:rFonts w:ascii="Arial Unicode MS" w:hAnsi="Arial Unicode MS" w:eastAsia="Arial Unicode MS"/>
          <w:b/>
          <w:color w:val="13465B"/>
          <w:sz w:val="19"/>
        </w:rPr>
        <w:t>PRD-NFR-008｜P0｜生产门槛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试点至少验证真实平台接入、身份准确性、事故归并、危险建议拦截、人工许可、现场完整闭环、降级和恢复。指标阈值在试点前由客户与项目组共同签署，未达到时不得扩大范围。</w:t>
      </w:r>
    </w:p>
    <w:p>
      <w:pPr>
        <w:pStyle w:val="Heading1"/>
      </w:pPr>
      <w:r>
        <w:t>十六、验收、优先级与版本路线</w:t>
      </w:r>
    </w:p>
    <w:p>
      <w:pPr>
        <w:pStyle w:val="Heading2"/>
      </w:pPr>
      <w:r>
        <w:t>16.1 P0验收范围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P0覆盖事件接入与来源身份、事故治理、证据链、AI调查基线、角色化协同、OMS关键门禁、现场成功与失败闭环、CC首次提示、演练隔离、知识与提示词发布治理、权限和审计。P0不等于所有真实平台已接通。</w:t>
      </w:r>
    </w:p>
    <w:p>
      <w:pPr>
        <w:pStyle w:val="Heading2"/>
      </w:pPr>
      <w:r>
        <w:t>16.2 当前原型验收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当前原型以自动化测试、沙盒数据和界面操作验证功能逻辑。验收结果只证明设计与代码路径可运行，不证明特定客户环境的生产准确率、兼容性、性能或可用性。</w:t>
      </w:r>
    </w:p>
    <w:p>
      <w:pPr>
        <w:pStyle w:val="Heading2"/>
      </w:pPr>
      <w:r>
        <w:t>16.3 生产前P0差距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强制OMS四个必填项，尤其取消“是否从重装中发起”的默认答案并增加后端校验。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接入至少一类真实监控和真实资产身份源，验证来源契约、时间同步和权限。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在客户沙盒验证完整SN、机架位、UID灯和操作许可链路。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以盲测集评估事实提取、关联、证据引用、拒答和危险动作拦截。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172B3A"/>
          <w:sz w:val="21"/>
        </w:rPr>
        <w:t>完成生产部署、安全、备份、恢复和运行责任评审。</w:t>
      </w:r>
    </w:p>
    <w:p>
      <w:pPr>
        <w:pStyle w:val="Heading2"/>
      </w:pPr>
      <w:r>
        <w:t>16.4 版本路线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3200"/>
        <w:gridCol w:w="236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主要交付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原型版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验证产品闭环与交互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沙盒接入、规则/RAG、演练、现场操作、AI治理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自动化测试通过，关键流程可演示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试点版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验证真实数据和岗位流程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真实平台适配、资产绑定、客户知识、权限与运行指标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试点门槛达成，风险有责任人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正式版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稳定支撑生产协同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高可用、备份恢复、双人发布审批、运营报表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生产评审通过并完成回滚演练</w:t>
            </w:r>
          </w:p>
        </w:tc>
      </w:tr>
    </w:tbl>
    <w:p>
      <w:pPr>
        <w:spacing w:after="20"/>
      </w:pPr>
    </w:p>
    <w:p>
      <w:pPr>
        <w:pStyle w:val="Heading2"/>
      </w:pPr>
      <w:r>
        <w:t>16.5 变更管理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本PRD是需求基线。新增角色、平台、危险动作、数据外发、自动执行或责任分配属于重大变更，必须经过产品、技术、安全和业务共同评审，不得仅通过修改提示词上线。</w:t>
      </w:r>
    </w:p>
    <w:p>
      <w:r>
        <w:br w:type="page"/>
      </w:r>
    </w:p>
    <w:p>
      <w:pPr>
        <w:pStyle w:val="Heading1"/>
      </w:pPr>
      <w:r>
        <w:t>附录A：角色与权限矩阵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3200"/>
        <w:gridCol w:w="216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可执行角色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限制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查看分派事故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现场、接口人、组长、管理员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仅查看授权范围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补充现场证据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现场、接口人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保留记录人和时间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授予操作许可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接口人或授权责任人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AI与现场操作人不可代授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现场同级复核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现场复核人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必须与操作人分开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远程授权复核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组长或授权人员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单人值班等场景使用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开始与结束操作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现场操作人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受身份、许可、复核门禁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管理知识与提示词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AI管理员、最高管理员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草稿、沙盒、发布分离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查看结构化AI轨迹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AI管理员、最高管理员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不展示私有思维过程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查看原始高敏载荷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最高管理员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突破玻璃并审计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发布正式AI配置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当前最高管理员；正式版双人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两次确认；正式版双人审批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</w:tr>
    </w:tbl>
    <w:p>
      <w:pPr>
        <w:spacing w:after="20"/>
      </w:pPr>
    </w:p>
    <w:p>
      <w:pPr>
        <w:pStyle w:val="Heading1"/>
      </w:pPr>
      <w:r>
        <w:t>附录B：页面与功能清单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20"/>
        <w:gridCol w:w="2160"/>
        <w:gridCol w:w="348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一级入口</w:t>
            </w:r>
          </w:p>
        </w:tc>
        <w:tc>
          <w:tcPr>
            <w:tcW w:type="dxa" w:w="2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核心页面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主要用户</w:t>
            </w:r>
          </w:p>
        </w:tc>
        <w:tc>
          <w:tcPr>
            <w:tcW w:type="dxa" w:w="3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主要任务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故障中心</w:t>
            </w:r>
          </w:p>
        </w:tc>
        <w:tc>
          <w:tcPr>
            <w:tcW w:type="dxa" w:w="2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队列、事故详情、证据与下一步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全部作业角色</w:t>
            </w:r>
          </w:p>
        </w:tc>
        <w:tc>
          <w:tcPr>
            <w:tcW w:type="dxa" w:w="3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处理真实事故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模拟案例</w:t>
            </w:r>
          </w:p>
        </w:tc>
        <w:tc>
          <w:tcPr>
            <w:tcW w:type="dxa" w:w="2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案例分类、触发、盲测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开发者、AI管理员</w:t>
            </w:r>
          </w:p>
        </w:tc>
        <w:tc>
          <w:tcPr>
            <w:tcW w:type="dxa" w:w="3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发起完整链路演练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数据来源</w:t>
            </w:r>
          </w:p>
        </w:tc>
        <w:tc>
          <w:tcPr>
            <w:tcW w:type="dxa" w:w="2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平台状态、来源契约、样本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管理员</w:t>
            </w:r>
          </w:p>
        </w:tc>
        <w:tc>
          <w:tcPr>
            <w:tcW w:type="dxa" w:w="3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管理真实接入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告警治理</w:t>
            </w:r>
          </w:p>
        </w:tc>
        <w:tc>
          <w:tcPr>
            <w:tcW w:type="dxa" w:w="2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原始信号、抑制、维护窗口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系统/网络/管理员</w:t>
            </w:r>
          </w:p>
        </w:tc>
        <w:tc>
          <w:tcPr>
            <w:tcW w:type="dxa" w:w="3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治理告警生命周期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机房等级</w:t>
            </w:r>
          </w:p>
        </w:tc>
        <w:tc>
          <w:tcPr>
            <w:tcW w:type="dxa" w:w="2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核心/普通/未知、CC矩阵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管理员、组长</w:t>
            </w:r>
          </w:p>
        </w:tc>
        <w:tc>
          <w:tcPr>
            <w:tcW w:type="dxa" w:w="3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管理动环决策依据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故障演练</w:t>
            </w:r>
          </w:p>
        </w:tc>
        <w:tc>
          <w:tcPr>
            <w:tcW w:type="dxa" w:w="2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单步推进、轨迹、评分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开发者、AI管理员</w:t>
            </w:r>
          </w:p>
        </w:tc>
        <w:tc>
          <w:tcPr>
            <w:tcW w:type="dxa" w:w="3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测试与复盘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接入实验室</w:t>
            </w:r>
          </w:p>
        </w:tc>
        <w:tc>
          <w:tcPr>
            <w:tcW w:type="dxa" w:w="2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六类模拟平台与状态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开发者、AI管理员</w:t>
            </w:r>
          </w:p>
        </w:tc>
        <w:tc>
          <w:tcPr>
            <w:tcW w:type="dxa" w:w="3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验证部分联动与异常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数据与AI</w:t>
            </w:r>
          </w:p>
        </w:tc>
        <w:tc>
          <w:tcPr>
            <w:tcW w:type="dxa" w:w="2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数据、知识、提示词、模型、治理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AI管理员、最高管理员</w:t>
            </w:r>
          </w:p>
        </w:tc>
        <w:tc>
          <w:tcPr>
            <w:tcW w:type="dxa" w:w="3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管理AI资产与发布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现场操作</w:t>
            </w:r>
          </w:p>
        </w:tc>
        <w:tc>
          <w:tcPr>
            <w:tcW w:type="dxa" w:w="2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OMS记录、身份、许可、复核、结束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现场、接口人、组长</w:t>
            </w:r>
          </w:p>
        </w:tc>
        <w:tc>
          <w:tcPr>
            <w:tcW w:type="dxa" w:w="3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完成可审计作业</w:t>
            </w:r>
          </w:p>
        </w:tc>
      </w:tr>
    </w:tbl>
    <w:p>
      <w:pPr>
        <w:spacing w:after="20"/>
      </w:pPr>
    </w:p>
    <w:p>
      <w:pPr>
        <w:pStyle w:val="Heading1"/>
      </w:pPr>
      <w:r>
        <w:t>附录C：OMS字段与必填规则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900"/>
        <w:gridCol w:w="3680"/>
        <w:gridCol w:w="3220"/>
      </w:tblGrid>
      <w:tr>
        <w:trPr>
          <w:tblHeader w:val="true"/>
          <w:cantSplit w:val="true"/>
        </w:trPr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必填</w:t>
            </w:r>
          </w:p>
        </w:tc>
        <w:tc>
          <w:tcPr>
            <w:tcW w:type="dxa" w:w="3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3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当前差距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OMS工单号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是</w:t>
            </w:r>
          </w:p>
        </w:tc>
        <w:tc>
          <w:tcPr>
            <w:tcW w:type="dxa" w:w="3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非空，建立不可变快照</w:t>
            </w:r>
          </w:p>
        </w:tc>
        <w:tc>
          <w:tcPr>
            <w:tcW w:type="dxa" w:w="3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已有校验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目标完整SN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是</w:t>
            </w:r>
          </w:p>
        </w:tc>
        <w:tc>
          <w:tcPr>
            <w:tcW w:type="dxa" w:w="3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必须完整，不接受末位</w:t>
            </w:r>
          </w:p>
        </w:tc>
        <w:tc>
          <w:tcPr>
            <w:tcW w:type="dxa" w:w="3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已有校验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机架位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是</w:t>
            </w:r>
          </w:p>
        </w:tc>
        <w:tc>
          <w:tcPr>
            <w:tcW w:type="dxa" w:w="3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机柜与U位可追溯</w:t>
            </w:r>
          </w:p>
        </w:tc>
        <w:tc>
          <w:tcPr>
            <w:tcW w:type="dxa" w:w="3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已有校验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是否从重装中发起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是</w:t>
            </w:r>
          </w:p>
        </w:tc>
        <w:tc>
          <w:tcPr>
            <w:tcW w:type="dxa" w:w="3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必须主动选择，不设默认值</w:t>
            </w:r>
          </w:p>
        </w:tc>
        <w:tc>
          <w:tcPr>
            <w:tcW w:type="dxa" w:w="3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后端与界面待补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机房编码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否</w:t>
            </w:r>
          </w:p>
        </w:tc>
        <w:tc>
          <w:tcPr>
            <w:tcW w:type="dxa" w:w="3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可由工单或资产补充</w:t>
            </w:r>
          </w:p>
        </w:tc>
        <w:tc>
          <w:tcPr>
            <w:tcW w:type="dxa" w:w="3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设备名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否</w:t>
            </w:r>
          </w:p>
        </w:tc>
        <w:tc>
          <w:tcPr>
            <w:tcW w:type="dxa" w:w="3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可由资产补充</w:t>
            </w:r>
          </w:p>
        </w:tc>
        <w:tc>
          <w:tcPr>
            <w:tcW w:type="dxa" w:w="3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操作类型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否</w:t>
            </w:r>
          </w:p>
        </w:tc>
        <w:tc>
          <w:tcPr>
            <w:tcW w:type="dxa" w:w="3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选择或后续补充</w:t>
            </w:r>
          </w:p>
        </w:tc>
        <w:tc>
          <w:tcPr>
            <w:tcW w:type="dxa" w:w="3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紧急程度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否</w:t>
            </w:r>
          </w:p>
        </w:tc>
        <w:tc>
          <w:tcPr>
            <w:tcW w:type="dxa" w:w="3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不替代实际优先级策略</w:t>
            </w:r>
          </w:p>
        </w:tc>
        <w:tc>
          <w:tcPr>
            <w:tcW w:type="dxa" w:w="3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工单操作许可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否</w:t>
            </w:r>
          </w:p>
        </w:tc>
        <w:tc>
          <w:tcPr>
            <w:tcW w:type="dxa" w:w="3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若涉及危险动作则后续必须确认</w:t>
            </w:r>
          </w:p>
        </w:tc>
        <w:tc>
          <w:tcPr>
            <w:tcW w:type="dxa" w:w="3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无</w:t>
            </w:r>
          </w:p>
        </w:tc>
      </w:tr>
    </w:tbl>
    <w:p>
      <w:pPr>
        <w:spacing w:after="20"/>
      </w:pPr>
    </w:p>
    <w:p>
      <w:pPr>
        <w:pStyle w:val="Heading1"/>
      </w:pPr>
      <w:r>
        <w:t>附录D：关键状态机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3000"/>
        <w:gridCol w:w="236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主要状态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关键转移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约束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事故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new、processing、resolved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新建→处理→恢复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恢复需证据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告警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firing、acknowledged、recovered、silenced、suppressed、expired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发生→治理→恢复/到期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抑制不等于恢复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分派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assigned、acknowledged、deferred、escalated、reassigned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分派→确认/延期/升级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保留责任链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操作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awaiting_identity、blocked_identity、awaiting_permission、blocked_permission、awaiting_review、blocked_review、ready、operating、completed_success、completed_failed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身份→许可→复核→操作→结果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不可跳过门禁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知识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draft、review、published、retired、archived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草稿→审核→发布→停用/归档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仅发布版检索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演练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running、resolved、transferred、evidence_insufficient、operation_blocked、false_positive、terminated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运行→终态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与生产隔离</w:t>
            </w:r>
          </w:p>
        </w:tc>
      </w:tr>
    </w:tbl>
    <w:p>
      <w:pPr>
        <w:spacing w:after="20"/>
      </w:pPr>
    </w:p>
    <w:p>
      <w:pPr>
        <w:pStyle w:val="Heading1"/>
      </w:pPr>
      <w:r>
        <w:t>附录E：不可被AI覆盖的硬门禁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3000"/>
        <w:gridCol w:w="236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门禁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禁止行为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允许方式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证据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设备身份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猜测SN、只用末位匹配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真实来源或人工完整输入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完整SN、机架位、来源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事故归并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只凭文本相似自动合并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拓扑、身份、时间和兼容信号共同支持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关联依据列表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操作许可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AI批准断电、重启、抽机或热插拔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接口人或授权责任人确认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人员、时间、结论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双岗复核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AI充当第二责任人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同级现场复核或授权远程复核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复核记录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原始数据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普通角色直接查看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最高管理员突破玻璃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原因与审计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确认结论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无证据创建confirmed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确定性规则、工具结果或人工确认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证据ID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发布上线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提示词编辑后直接生效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草稿、沙盒、确认发布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版本与发布记录</w:t>
            </w:r>
          </w:p>
        </w:tc>
      </w:tr>
    </w:tbl>
    <w:p>
      <w:pPr>
        <w:spacing w:after="20"/>
      </w:pPr>
    </w:p>
    <w:p>
      <w:pPr>
        <w:pStyle w:val="Heading1"/>
      </w:pPr>
      <w:r>
        <w:t>附录F：错误、降级与用户提示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3000"/>
        <w:gridCol w:w="236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情况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系统行为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用户提示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禁止结果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来源断开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保留其他来源，标记缺口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哪个平台何时断开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显示全量正常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无权限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停止该项查询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缺少的权限与申请对象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无限重试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无效载荷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隔离原文，记录错误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字段或契约错误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静默丢弃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模型未配置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使用规则＋知识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模型not_run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冒充AI结果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模型超时/无效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丢弃模型增强，保留基线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具体降级原因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使用未校验输出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知识无命中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输出证据不足与查询建议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缺失知识范围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编造SOP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身份不一致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阻断操作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哪些来源不一致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允许开始操作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复核人不可用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等待或人工电话升级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当前等待与升级方式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AI自动放行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业务无法验证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只标基础设施状态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待接口人确认业务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宣告全量恢复</w:t>
            </w:r>
          </w:p>
        </w:tc>
      </w:tr>
    </w:tbl>
    <w:p>
      <w:pPr>
        <w:spacing w:after="20"/>
      </w:pPr>
    </w:p>
    <w:p>
      <w:pPr>
        <w:pStyle w:val="Heading1"/>
      </w:pPr>
      <w:r>
        <w:t>附录G：需求与测试证据映射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300"/>
        <w:gridCol w:w="3000"/>
        <w:gridCol w:w="2460"/>
      </w:tblGrid>
      <w:tr>
        <w:trPr>
          <w:tblHeader w:val="true"/>
          <w:cantSplit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需求范围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现有测试证据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已验证内容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仍需真实验证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PRD-INC、PRD-GOV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接入、规范化、治理与事故存储测试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来源契约、生命周期、分派、幂等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真实平台字段与规模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PRD-COR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跨域关联与拓扑测试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确定性身份与关联约束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客户拓扑准确性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PRD-AI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RAG、证据链、模型与Agent测试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八步轨迹、证据ID、降级、只读工具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真实模型质量与延迟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PRD-COL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协同与现场反馈测试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角色下一步、补充、暂停、恢复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如流/实际岗位流程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PRD-OPS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操作闭环与扫码测试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身份、许可、复核、成功/失败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第四必填项、真实终端与OMS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PRD-CC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机房等级和CC矩阵测试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核心/普通/未知的规则分支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客户SOP阈值与真实动环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PRD-LAB、PRD-DRL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接入实验室与演练测试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六类来源、异常状态、单步和终态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独立盲测与生产代表性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PRD-AIC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AI控制台与治理测试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版本、去重、发布、回滚、权限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组织审批与真实模型厂商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PRD-SEC、PRD-ERR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权限、审计和故障注入测试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突破玻璃、降级、幂等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安全评审、备份恢复演练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附录H：能力真实性状态表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3000"/>
        <w:gridCol w:w="236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可以证明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不能据此声称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规则＋结构化知识调查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本地规则与知识链可运行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已覆盖全部生产故障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本地轻量RAG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可检索、引用和追版本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等同高质量语义Embedding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外部大模型增强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已实现未接真实环境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接口、校验和降级路径存在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已使用真实模型持续分析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只读Agent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已实现未接真实环境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工具白名单与事件绑定存在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已接入客户监控工具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六类接入实验室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模拟联动和故障注入可运行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等同真实平台接入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OMS现场操作闭环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部分实现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身份、许可、复核、结果可运行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四个必填项已全部强制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动环CC提示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确定性矩阵可运行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自动完成CC电话流程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AI资产与发布治理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已实现并验证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草稿、测试、发布、回滚可运行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已完成企业级双人审批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生产准确率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尚未验证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可建立评测和试点方法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已达到98%、99%或100%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十万级资产规模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尚未验证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可作为容量测试目标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color w:val="172B3A"/>
                <w:sz w:val="17"/>
              </w:rPr>
              <w:t>当前已完成同规模压测</w:t>
            </w:r>
          </w:p>
        </w:tc>
      </w:tr>
    </w:tbl>
    <w:p>
      <w:pPr>
        <w:spacing w:after="20"/>
      </w:pPr>
    </w:p>
    <w:p>
      <w:pPr>
        <w:spacing w:after="120" w:line="300" w:lineRule="auto"/>
        <w:jc w:val="both"/>
      </w:pPr>
      <w:r>
        <w:rPr>
          <w:rFonts w:ascii="Arial Unicode MS" w:hAnsi="Arial Unicode MS" w:eastAsia="Arial Unicode MS"/>
          <w:color w:val="172B3A"/>
          <w:sz w:val="21"/>
        </w:rPr>
        <w:t>本PRD后续随真实接入、试点评测和组织规则变化进行版本更新。任何从“未接真实环境”升级为“已在生产验证”的结论，必须附真实数据来源、测试范围、责任人和验收记录。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9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6798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667985"/>
        <w:sz w:val="17"/>
      </w:rPr>
      <w:t>内部资料 · 产品评审稿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5" w:color="D4E1E5"/>
      </w:pBdr>
    </w:pPr>
    <w:r>
      <w:rPr>
        <w:rFonts w:ascii="Arial Unicode MS" w:hAnsi="Arial Unicode MS" w:eastAsia="Arial Unicode MS"/>
        <w:color w:val="667985"/>
        <w:sz w:val="17"/>
      </w:rPr>
      <w:t>机鉴 · IDC AI故障调查与现场协同平台  |  PRD V0.1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Arial Unicode MS" w:hAnsi="Arial Unicode MS" w:eastAsia="Arial Unicode MS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6B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346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机鉴 · IDC AI故障调查与现场协同平台 PRD产品需求文档</dc:title>
  <dc:subject>产品、研发、测试、系统组、网络组、IDC现场、AI运营和试点评审</dc:subject>
  <dc:creator>机鉴项目组</dc:creator>
  <cp:keywords>IDC, AI, PRD, 故障调查, RAG, Agent, 现场协同, OMS</cp:keywords>
  <dc:description>V0.1 产品评审稿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