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Hiragino Sans GB" w:hAnsi="Hiragino Sans GB" w:eastAsia="Hiragino Sans GB"/>
          <w:b/>
          <w:color w:val="1C9A91"/>
          <w:sz w:val="19"/>
        </w:rPr>
        <w:t>TECHNICAL ARCHITECTURE  /  V0.1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172B3A"/>
          <w:sz w:val="56"/>
        </w:rPr>
        <w:t>机鉴</w:t>
      </w:r>
    </w:p>
    <w:p>
      <w:pPr>
        <w:spacing w:after="60"/>
      </w:pPr>
      <w:r>
        <w:rPr>
          <w:rFonts w:ascii="Hiragino Sans GB" w:hAnsi="Hiragino Sans GB" w:eastAsia="Hiragino Sans GB"/>
          <w:b/>
          <w:color w:val="13465B"/>
          <w:sz w:val="32"/>
        </w:rPr>
        <w:t>IDC AI故障调查与现场协同平台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76B87"/>
          <w:sz w:val="40"/>
        </w:rPr>
        <w:t>技术方案与系统架构设计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文档编号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IDC-AI-OPS-TECH-003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版本 / 状态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V0.1 / 技术评审稿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编制日期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2026年8月27日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关联文档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《机鉴产品立项报告》V0.1、《机鉴PRD产品需求文档》V0.1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适用范围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架构、研发、测试、系统组、网络组、IDC现场、AI运营、安全与试点评审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保密等级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内部资料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5F3"/>
          </w:tcPr>
          <w:p>
            <w:pPr>
              <w:spacing w:before="60" w:after="60"/>
            </w:pPr>
            <w:r>
              <w:rPr>
                <w:rFonts w:ascii="Hiragino Sans GB" w:hAnsi="Hiragino Sans GB" w:eastAsia="Hiragino Sans GB"/>
                <w:color w:val="13465B"/>
                <w:sz w:val="19"/>
              </w:rPr>
              <w:t>技术边界以当前代码为准：AI负责证据综合，身份、权限、操作许可和审计由确定性系统与人工负责。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Hiragino Sans GB" w:hAnsi="Hiragino Sans GB" w:eastAsia="Hiragino Sans GB"/>
          <w:b/>
          <w:color w:val="176B87"/>
          <w:sz w:val="34"/>
        </w:rPr>
        <w:t>目录</w:t>
      </w:r>
    </w:p>
    <w:p>
      <w:pPr>
        <w:spacing w:after="200"/>
      </w:pPr>
      <w:r>
        <w:rPr>
          <w:rFonts w:ascii="Hiragino Sans GB" w:hAnsi="Hiragino Sans GB" w:eastAsia="Hiragino Sans GB"/>
          <w:color w:val="667985"/>
          <w:sz w:val="19"/>
        </w:rPr>
        <w:t>导入飞书后，可依据Word Heading 1/2/3自动生成可折叠的上下级目录。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01  </w:t>
      </w:r>
      <w:r>
        <w:rPr>
          <w:rFonts w:ascii="Hiragino Sans GB" w:hAnsi="Hiragino Sans GB" w:eastAsia="Hiragino Sans GB"/>
          <w:b/>
          <w:color w:val="13465B"/>
          <w:sz w:val="19"/>
        </w:rPr>
        <w:t>一、文档目的与技术结论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02  </w:t>
      </w:r>
      <w:r>
        <w:rPr>
          <w:rFonts w:ascii="Hiragino Sans GB" w:hAnsi="Hiragino Sans GB" w:eastAsia="Hiragino Sans GB"/>
          <w:b/>
          <w:color w:val="13465B"/>
          <w:sz w:val="19"/>
        </w:rPr>
        <w:t>二、架构原则与责任边界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03  </w:t>
      </w:r>
      <w:r>
        <w:rPr>
          <w:rFonts w:ascii="Hiragino Sans GB" w:hAnsi="Hiragino Sans GB" w:eastAsia="Hiragino Sans GB"/>
          <w:b/>
          <w:color w:val="13465B"/>
          <w:sz w:val="19"/>
        </w:rPr>
        <w:t>三、系统范围与上下游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04  </w:t>
      </w:r>
      <w:r>
        <w:rPr>
          <w:rFonts w:ascii="Hiragino Sans GB" w:hAnsi="Hiragino Sans GB" w:eastAsia="Hiragino Sans GB"/>
          <w:b/>
          <w:color w:val="13465B"/>
          <w:sz w:val="19"/>
        </w:rPr>
        <w:t>四、总体逻辑架构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05  </w:t>
      </w:r>
      <w:r>
        <w:rPr>
          <w:rFonts w:ascii="Hiragino Sans GB" w:hAnsi="Hiragino Sans GB" w:eastAsia="Hiragino Sans GB"/>
          <w:b/>
          <w:color w:val="13465B"/>
          <w:sz w:val="19"/>
        </w:rPr>
        <w:t>五、事件接入与标准化设计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06  </w:t>
      </w:r>
      <w:r>
        <w:rPr>
          <w:rFonts w:ascii="Hiragino Sans GB" w:hAnsi="Hiragino Sans GB" w:eastAsia="Hiragino Sans GB"/>
          <w:b/>
          <w:color w:val="13465B"/>
          <w:sz w:val="19"/>
        </w:rPr>
        <w:t>六、事件治理、关联与多机事故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07  </w:t>
      </w:r>
      <w:r>
        <w:rPr>
          <w:rFonts w:ascii="Hiragino Sans GB" w:hAnsi="Hiragino Sans GB" w:eastAsia="Hiragino Sans GB"/>
          <w:b/>
          <w:color w:val="13465B"/>
          <w:sz w:val="19"/>
        </w:rPr>
        <w:t>七、调查引擎与可解释结果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08  </w:t>
      </w:r>
      <w:r>
        <w:rPr>
          <w:rFonts w:ascii="Hiragino Sans GB" w:hAnsi="Hiragino Sans GB" w:eastAsia="Hiragino Sans GB"/>
          <w:b/>
          <w:color w:val="13465B"/>
          <w:sz w:val="19"/>
        </w:rPr>
        <w:t>八、RAG与知识资产架构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09  </w:t>
      </w:r>
      <w:r>
        <w:rPr>
          <w:rFonts w:ascii="Hiragino Sans GB" w:hAnsi="Hiragino Sans GB" w:eastAsia="Hiragino Sans GB"/>
          <w:b/>
          <w:color w:val="13465B"/>
          <w:sz w:val="19"/>
        </w:rPr>
        <w:t>九、大模型与只读Agent设计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10  </w:t>
      </w:r>
      <w:r>
        <w:rPr>
          <w:rFonts w:ascii="Hiragino Sans GB" w:hAnsi="Hiragino Sans GB" w:eastAsia="Hiragino Sans GB"/>
          <w:b/>
          <w:color w:val="13465B"/>
          <w:sz w:val="19"/>
        </w:rPr>
        <w:t>十、现场作业与OMS状态机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11  </w:t>
      </w:r>
      <w:r>
        <w:rPr>
          <w:rFonts w:ascii="Hiragino Sans GB" w:hAnsi="Hiragino Sans GB" w:eastAsia="Hiragino Sans GB"/>
          <w:b/>
          <w:color w:val="13465B"/>
          <w:sz w:val="19"/>
        </w:rPr>
        <w:t>十一、机房等级与CC判断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12  </w:t>
      </w:r>
      <w:r>
        <w:rPr>
          <w:rFonts w:ascii="Hiragino Sans GB" w:hAnsi="Hiragino Sans GB" w:eastAsia="Hiragino Sans GB"/>
          <w:b/>
          <w:color w:val="13465B"/>
          <w:sz w:val="19"/>
        </w:rPr>
        <w:t>十二、权限、安全与审计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13  </w:t>
      </w:r>
      <w:r>
        <w:rPr>
          <w:rFonts w:ascii="Hiragino Sans GB" w:hAnsi="Hiragino Sans GB" w:eastAsia="Hiragino Sans GB"/>
          <w:b/>
          <w:color w:val="13465B"/>
          <w:sz w:val="19"/>
        </w:rPr>
        <w:t>十三、数据存储与审计模型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14  </w:t>
      </w:r>
      <w:r>
        <w:rPr>
          <w:rFonts w:ascii="Hiragino Sans GB" w:hAnsi="Hiragino Sans GB" w:eastAsia="Hiragino Sans GB"/>
          <w:b/>
          <w:color w:val="13465B"/>
          <w:sz w:val="19"/>
        </w:rPr>
        <w:t>十四、部署、可用性与可观测性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15  </w:t>
      </w:r>
      <w:r>
        <w:rPr>
          <w:rFonts w:ascii="Hiragino Sans GB" w:hAnsi="Hiragino Sans GB" w:eastAsia="Hiragino Sans GB"/>
          <w:b/>
          <w:color w:val="13465B"/>
          <w:sz w:val="19"/>
        </w:rPr>
        <w:t>十五、容量与性能设计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16  </w:t>
      </w:r>
      <w:r>
        <w:rPr>
          <w:rFonts w:ascii="Hiragino Sans GB" w:hAnsi="Hiragino Sans GB" w:eastAsia="Hiragino Sans GB"/>
          <w:b/>
          <w:color w:val="13465B"/>
          <w:sz w:val="19"/>
        </w:rPr>
        <w:t>十六、生产落地差距与实施路线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17  </w:t>
      </w:r>
      <w:r>
        <w:rPr>
          <w:rFonts w:ascii="Hiragino Sans GB" w:hAnsi="Hiragino Sans GB" w:eastAsia="Hiragino Sans GB"/>
          <w:b/>
          <w:color w:val="13465B"/>
          <w:sz w:val="19"/>
        </w:rPr>
        <w:t>附录A：核心模块与职责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18  </w:t>
      </w:r>
      <w:r>
        <w:rPr>
          <w:rFonts w:ascii="Hiragino Sans GB" w:hAnsi="Hiragino Sans GB" w:eastAsia="Hiragino Sans GB"/>
          <w:b/>
          <w:color w:val="13465B"/>
          <w:sz w:val="19"/>
        </w:rPr>
        <w:t>附录B：主要API域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19  </w:t>
      </w:r>
      <w:r>
        <w:rPr>
          <w:rFonts w:ascii="Hiragino Sans GB" w:hAnsi="Hiragino Sans GB" w:eastAsia="Hiragino Sans GB"/>
          <w:b/>
          <w:color w:val="13465B"/>
          <w:sz w:val="19"/>
        </w:rPr>
        <w:t>附录C：能力真实性状态表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20  </w:t>
      </w:r>
      <w:r>
        <w:rPr>
          <w:rFonts w:ascii="Hiragino Sans GB" w:hAnsi="Hiragino Sans GB" w:eastAsia="Hiragino Sans GB"/>
          <w:b/>
          <w:color w:val="13465B"/>
          <w:sz w:val="19"/>
        </w:rPr>
        <w:t>附录D：官方参考资料</w:t>
      </w:r>
    </w:p>
    <w:p>
      <w:r>
        <w:br w:type="page"/>
      </w:r>
    </w:p>
    <w:p>
      <w:pPr>
        <w:pStyle w:val="Heading1"/>
      </w:pPr>
      <w:r>
        <w:t>一、文档目的与技术结论</w:t>
      </w:r>
    </w:p>
    <w:p>
      <w:pPr>
        <w:pStyle w:val="Heading2"/>
      </w:pPr>
      <w:r>
        <w:t>1.1 文档目的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本文说明机鉴如何从动环、网络、BMC、系统、应用、OMS和现场反馈中接收信号，如何确定设备身份与事件关系，如何调用规则、知识库、RAG和只读调查Agent，如何把结果交给系统组、网络组和现场人员，以及如何保证授权、复核、审计和可回退。</w:t>
      </w:r>
    </w:p>
    <w:p>
      <w:pPr>
        <w:pStyle w:val="Heading2"/>
      </w:pPr>
      <w:r>
        <w:t>1.2 一句话架构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机鉴不是“让大模型猜故障”的聊天机器人，而是一个</w:t>
      </w:r>
      <w:r>
        <w:rPr>
          <w:rFonts w:ascii="Hiragino Sans GB" w:hAnsi="Hiragino Sans GB" w:eastAsia="Hiragino Sans GB"/>
          <w:b/>
          <w:color w:val="172B3A"/>
          <w:sz w:val="21"/>
        </w:rPr>
        <w:t>确定性数据与安全外壳包围AI调查核心</w:t>
      </w:r>
      <w:r>
        <w:rPr>
          <w:rFonts w:ascii="Hiragino Sans GB" w:hAnsi="Hiragino Sans GB" w:eastAsia="Hiragino Sans GB"/>
          <w:color w:val="172B3A"/>
          <w:sz w:val="21"/>
        </w:rPr>
        <w:t>的平台：真实平台提供身份和证据，规则负责硬门禁，RAG提供版本化经验，AI负责综合与解释，人工负责授权和现场决策。</w:t>
      </w:r>
    </w:p>
    <w:p>
      <w:pPr>
        <w:pStyle w:val="Heading2"/>
      </w:pPr>
      <w:r>
        <w:t>1.3 当前技术结论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单体原型可运行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已实现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Python标准库HTTP服务、SQLite、静态Web前端，适合本地演示与功能试点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多源事件可进入统一管线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已实现并模拟验证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支持告警、SigNoz告警、日志、现场反馈及六类平台模拟接入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证据化调查链可审计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已实现并自动化验证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保存原始输入、标准化事实、候选假设、知识命中、提示词/约束版本和八步RAG轨迹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AI模型为可选增强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已实现接口，未完成真实模型基线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OpenAI-compatible模型适配；模型缺失时诚实降级到规则与知识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现场操作门禁可表达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已实现并自动化验证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完整SN、机架位、操作许可和复核相互独立，AI不得放行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生产级大规模承载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未验证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尚未完成真实监控接入、企业身份、HA、容量压测、数据保留和生产SLO验证</w:t>
            </w:r>
          </w:p>
        </w:tc>
      </w:tr>
    </w:tbl>
    <w:p>
      <w:pPr>
        <w:spacing w:after="20"/>
      </w:pPr>
    </w:p>
    <w:p>
      <w:pPr>
        <w:pStyle w:val="Heading1"/>
      </w:pPr>
      <w:r>
        <w:t>二、架构原则与责任边界</w:t>
      </w:r>
    </w:p>
    <w:p>
      <w:pPr>
        <w:pStyle w:val="Heading2"/>
      </w:pPr>
      <w:r>
        <w:t>2.1 五项原则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身份不猜。</w:t>
      </w:r>
      <w:r>
        <w:rPr>
          <w:rFonts w:ascii="Hiragino Sans GB" w:hAnsi="Hiragino Sans GB" w:eastAsia="Hiragino Sans GB"/>
          <w:color w:val="172B3A"/>
          <w:sz w:val="21"/>
        </w:rPr>
        <w:t xml:space="preserve"> SN、机架位、端口、拓扑和工单必须来自平台字段、资产系统、扫码/OCR或人工确认，不能由模型从相似文本猜测。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证据先于结论。</w:t>
      </w:r>
      <w:r>
        <w:rPr>
          <w:rFonts w:ascii="Hiragino Sans GB" w:hAnsi="Hiragino Sans GB" w:eastAsia="Hiragino Sans GB"/>
          <w:color w:val="172B3A"/>
          <w:sz w:val="21"/>
        </w:rPr>
        <w:t xml:space="preserve"> 每个事实、假设和建议都必须能回指事件、查询结果或知识版本；无证据时输出“证据不足”。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AI不越权。</w:t>
      </w:r>
      <w:r>
        <w:rPr>
          <w:rFonts w:ascii="Hiragino Sans GB" w:hAnsi="Hiragino Sans GB" w:eastAsia="Hiragino Sans GB"/>
          <w:color w:val="172B3A"/>
          <w:sz w:val="21"/>
        </w:rPr>
        <w:t xml:space="preserve"> AI可以建议下一项只读查询，不能批准断电、拔线、换盘、重启、发布提示词或查看原始敏感数据。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中途恢复即停止。</w:t>
      </w:r>
      <w:r>
        <w:rPr>
          <w:rFonts w:ascii="Hiragino Sans GB" w:hAnsi="Hiragino Sans GB" w:eastAsia="Hiragino Sans GB"/>
          <w:color w:val="172B3A"/>
          <w:sz w:val="21"/>
        </w:rPr>
        <w:t xml:space="preserve"> 排查不是固定流程走到底；每个动作后先验证，恢复则结束，未恢复才进入下一分支。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失败可降级。</w:t>
      </w:r>
      <w:r>
        <w:rPr>
          <w:rFonts w:ascii="Hiragino Sans GB" w:hAnsi="Hiragino Sans GB" w:eastAsia="Hiragino Sans GB"/>
          <w:color w:val="172B3A"/>
          <w:sz w:val="21"/>
        </w:rPr>
        <w:t xml:space="preserve"> 模型、外部调查工具或某个数据源不可用时，系统保留规则、知识、人工粘贴和审计能力，并明确显示降级状态。</w:t>
      </w:r>
    </w:p>
    <w:p>
      <w:pPr>
        <w:pStyle w:val="Heading2"/>
      </w:pPr>
      <w:r>
        <w:t>2.2 AI与确定性系统分工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30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确定性系统负责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AI负责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人负责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设备身份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字段校验、资产映射、冲突检测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不得补猜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扫码/录入、现场核对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事件关联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明确关联键、拓扑、时间窗、去重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提出候选关联原因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对高影响合并进行确认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故障判断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已发布规则、阈值、状态机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综合异构证据、提出竞争假设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接口人与专业组确认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调查动作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只读工具白名单与参数校验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选择下一项最有信息量的只读查询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批准任何有副作用操作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现场作业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OMS快照、许可、复核、审计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生成角色化步骤与反馈草稿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执行、验证、成功或失败接单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经验沉淀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版本、去重、审核、发布、回滚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整理为待审核经验候选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审核是否适用及适用范围</w:t>
            </w:r>
          </w:p>
        </w:tc>
      </w:tr>
    </w:tbl>
    <w:p>
      <w:pPr>
        <w:spacing w:after="20"/>
      </w:pPr>
    </w:p>
    <w:p>
      <w:pPr>
        <w:pStyle w:val="Heading2"/>
      </w:pPr>
      <w:r>
        <w:t>2.3 明确不做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不在没有真实字段时用大模型猜“是不是同一台设备”。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不公开模型私有思维链；管理员看到的是输入摘要、事实、证据、工具调用、候选假设、排除理由和版本快照。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不自动执行关机、重启、拔线、换件或配置变更。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不把公开数据集或模拟故障的高分包装成生产准确率。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不把详细网络拓扑按想象画成事实；只保存可验证的实体、链路和来源。</w:t>
      </w:r>
    </w:p>
    <w:p>
      <w:pPr>
        <w:pStyle w:val="Heading1"/>
      </w:pPr>
      <w:r>
        <w:t>三、系统范围与上下游</w:t>
      </w:r>
    </w:p>
    <w:p>
      <w:pPr>
        <w:pStyle w:val="Heading2"/>
      </w:pPr>
      <w:r>
        <w:t>3.1 上游数据源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32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来源域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典型输入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接入方式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动环平台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温度、漏水、单路/双路掉电、空调异常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Webhook、API、消息总线或人工粘贴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模拟接入已实现，真实接口待接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网络平台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端口down、抖动、CRC/FEC、光模块、链路告警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Webhook、Syslog、SNMP转换、API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模拟接入已实现，真实接口待接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BMC/带外管理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电源、风扇、温度、内存、磁盘、SEL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Redfish或厂商API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契约与公开Mockup测试已具备，真实BMC待接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系统监控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kernel、systemd、OOM、磁盘、文件系统、进程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OpenTelemetry、日志代理、监控API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日志入口已实现，采集器模板待现场化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应用与服务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错误日志、Trace、指标、依赖超时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OpenTelemetry/SigNoz API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SigNoz只读查询已实现，真实配置待接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OMS/资产平台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工单、完整SN、机架位、操作类型、许可、上下线SN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API或人工导入不可变快照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人工导入与状态机已实现，真实OMS API待接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现场反馈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目视异常、扫码SN、光功率、操作结果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Web表单、移动端、消息适配器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现场事件入口已实现，消息平台待接</w:t>
            </w:r>
          </w:p>
        </w:tc>
      </w:tr>
    </w:tbl>
    <w:p>
      <w:pPr>
        <w:spacing w:after="20"/>
      </w:pP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OpenTelemetry官方定义了日志、指标和链路等信号及Collector的接收、处理、转发管线，适合作为系统与应用遥测的中立接入层；遗留Syslog和文件日志仍需要资源属性补全，避免只凭正文猜设备。</w:t>
      </w:r>
      <w:hyperlink r:id="rId13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OpenTelemetry信号</w:t>
        </w:r>
      </w:hyperlink>
      <w:r>
        <w:rPr>
          <w:rFonts w:ascii="Hiragino Sans GB" w:hAnsi="Hiragino Sans GB" w:eastAsia="Hiragino Sans GB"/>
          <w:color w:val="172B3A"/>
          <w:sz w:val="21"/>
        </w:rPr>
        <w:t>、</w:t>
      </w:r>
      <w:hyperlink r:id="rId14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Collector架构</w:t>
        </w:r>
      </w:hyperlink>
      <w:r>
        <w:rPr>
          <w:rFonts w:ascii="Hiragino Sans GB" w:hAnsi="Hiragino Sans GB" w:eastAsia="Hiragino Sans GB"/>
          <w:color w:val="172B3A"/>
          <w:sz w:val="21"/>
        </w:rPr>
        <w:t>、</w:t>
      </w:r>
      <w:hyperlink r:id="rId15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日志规范</w:t>
        </w:r>
      </w:hyperlink>
    </w:p>
    <w:p>
      <w:pPr>
        <w:pStyle w:val="Heading2"/>
      </w:pPr>
      <w:r>
        <w:t>3.2 下游协作对象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主要输出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默认可见范围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系统组接口人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系统证据、候选根因、下一项只读查询、是否需要现场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与系统域相关的证据摘要和工单状态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网络组接口人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链路实体、端口/模块/线缆候选、分支排查建议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网络证据、拓扑片段和现场反馈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现场操作员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完整目标、许可状态、复核要求、操作与验证步骤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不展示无关业务原文或管理员轨迹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双岗复核人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工单快照、完整SN、机架位、操作对象、现场确认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仅复核所需字段，不承担组长权限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机房组长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队列、超时、夜间升级、复核列表、异常处置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本机房管理视图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AI管理员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知识、提示词、约束、模型、评测、RAG轨迹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脱敏后的AI资产和运行证据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最高管理员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原始记录的受控解封、全局审计、发布治理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必须填写理由并二次确认</w:t>
            </w:r>
          </w:p>
        </w:tc>
      </w:tr>
    </w:tbl>
    <w:p>
      <w:pPr>
        <w:spacing w:after="20"/>
      </w:pPr>
    </w:p>
    <w:p>
      <w:pPr>
        <w:pStyle w:val="Heading1"/>
      </w:pPr>
      <w:r>
        <w:t>四、总体逻辑架构</w:t>
      </w:r>
    </w:p>
    <w:p>
      <w:pPr>
        <w:pStyle w:val="Heading2"/>
      </w:pPr>
      <w:r>
        <w:t>4.1 分层架构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主要职责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接入层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Webhook、日志入口、SigNoz、平台适配器、实验室、现场表单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接收事件、验证来源、保留原始载荷引用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契约层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平台标准契约、设备身份、时间、严重度、拓扑键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把不同平台字段映射为统一事件，不丢来源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事件治理层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去重、恢复、维护窗、上游抑制、源健康、冲突检测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防止告警风暴、误合并和过期告警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调查层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规则、事实抽取、知识检索、RAG、可选LLM、只读Agent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形成证据、竞争假设、验证计划和角色化解释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处置协同层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队列、分派、OMS作业、许可、复核、结果回填、CC判断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把判断变为安全、可追踪的真实作业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治理层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AI资产CMS、版本、导入、去重、反馈、发布、回滚、审计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管理知识、提示词、约束、测试集和模型供应商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存储层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SQLite原型、审计表、快照、备份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保存事件、轨迹、版本和操作记录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展示层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故障中心、真实故障、模拟案例、接入实验室、AI控制台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按角色展示不同信息与动作</w:t>
            </w:r>
          </w:p>
        </w:tc>
      </w:tr>
    </w:tbl>
    <w:p>
      <w:pPr>
        <w:spacing w:after="20"/>
      </w:pPr>
    </w:p>
    <w:p>
      <w:pPr>
        <w:pStyle w:val="Heading2"/>
      </w:pPr>
      <w:r>
        <w:t>4.2 端到端主流程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32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输出 / 停止条件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1. 接收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平台事件或人工粘贴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校验来源、事件ID、时间、载荷大小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无法验证来源则拒绝或隔离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2. 标准化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原平台字段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映射域、类型、设备标识、机房、严重度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保留原字段来源与缺失项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3. 身份与关联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SN、设备名、机架位、端口、拓扑、时间窗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明确键去重，检测冲突，禁止文本相似度强行合并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身份冲突进入人工确认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4. 事件治理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当前告警、恢复、维护窗、源健康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抑制重复与下游噪声，识别恢复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无需新事件则更新原事件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5. 规则与事实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标准事件、日志片段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提取确定性事实、命中安全规则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无证据则标记证据不足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6. RAG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事实、域、故障类型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召回已发布知识、解释命中原因、保存版本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无合适知识则不硬套SOP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7. AI调查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脱敏证据、知识、只读工具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形成竞争假设，选择下一项只读查询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证据足够或无更多安全查询时停止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8. 人工处置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候选判断、权限、工单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接口人确认、现场核对、许可与复核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未满足门禁不得开始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9. 验证与闭环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操作反馈、三网/业务/告警恢复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中途恢复即停止；未恢复进入下一分支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成功接单或失败接单均留痕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10. 经验候选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完整过程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AI结构化整理、去重、适用范围判断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人工审核后才可发布</w:t>
            </w:r>
          </w:p>
        </w:tc>
      </w:tr>
    </w:tbl>
    <w:p>
      <w:pPr>
        <w:spacing w:after="20"/>
      </w:pPr>
    </w:p>
    <w:p>
      <w:pPr>
        <w:pStyle w:val="Heading1"/>
      </w:pPr>
      <w:r>
        <w:t>五、事件接入与标准化设计</w:t>
      </w:r>
    </w:p>
    <w:p>
      <w:pPr>
        <w:pStyle w:val="Heading2"/>
      </w:pPr>
      <w:r>
        <w:t>5.1 统一事件最小字段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字段组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必需字段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来源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platform、source_event_id、observed_at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支持幂等和溯源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分类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domain、event_type、severity、state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state至少区分触发与恢复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身份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device_id及其来源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可为完整SN、平台设备ID或资产ID；缺失不能由模型补猜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位置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facility_code、rack_position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现场作业必须有机架位；普通调查允许待补充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关联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incident_key、topology_keys、change_id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仅使用可验证键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证据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raw_record_ref、summary、attributes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原文默认隔离，摘要供普通角色使用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安全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sensitivity、redaction_state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控制是否可以送入模型</w:t>
            </w:r>
          </w:p>
        </w:tc>
      </w:tr>
    </w:tbl>
    <w:p>
      <w:pPr>
        <w:spacing w:after="20"/>
      </w:pPr>
    </w:p>
    <w:p>
      <w:pPr>
        <w:pStyle w:val="Heading2"/>
      </w:pPr>
      <w:r>
        <w:t>5.2 六类平台适配器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当前实验室为动环、网络、BMC、系统、应用、OMS建立独立开关和统一事件入口。平台断开时返回失败，不伪造“已联动”；重复事件使用来源事件ID实现幂等。真实接入时，每个适配器必须补充鉴权、签名、重放保护、速率限制、超时、重试和死信处理。</w:t>
      </w:r>
    </w:p>
    <w:p>
      <w:pPr>
        <w:pStyle w:val="Heading2"/>
      </w:pPr>
      <w:r>
        <w:t>5.3 遥测采集建议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Linux主机与应用：优先采用OpenTelemetry Collector或现有日志平台转发，增加host、service、environment和asset_id资源属性。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网络设备：先由现有网络监控或Syslog/SNMP平台转换为结构化事件，机鉴不直接替代成熟NMS。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BMC：优先使用Redfish只读资源与事件；Redfish是面向BMC等平台管理的RESTful标准。</w:t>
      </w:r>
      <w:hyperlink r:id="rId16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DMTF Redfish规范</w:t>
        </w:r>
      </w:hyperlink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SigNoz：通过只读Logs API按明确设备标识与受限时间窗查询，限制返回条数与超时。</w:t>
      </w:r>
      <w:hyperlink r:id="rId17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SigNoz Logs API</w:t>
        </w:r>
      </w:hyperlink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现场：支持复制日志、输入测量值和完整SN；后续移动端可用条码/二维码扫描降低手输错误。</w:t>
      </w:r>
    </w:p>
    <w:p>
      <w:pPr>
        <w:pStyle w:val="Heading1"/>
      </w:pPr>
      <w:r>
        <w:t>六、事件治理、关联与多机事故</w:t>
      </w:r>
    </w:p>
    <w:p>
      <w:pPr>
        <w:pStyle w:val="Heading2"/>
      </w:pPr>
      <w:r>
        <w:t>6.1 关联顺序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明确的incident_key或同一上游事件ID。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资产/拓扑平台给出的实体关系。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同一设备的完整SN或可信平台ID。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同机架、同TOR、同供电域、同动环区域加严格时间窗，形成“候选事故簇”。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文本相似度只能提供候选，不得直接合并。</w:t>
      </w:r>
    </w:p>
    <w:p>
      <w:pPr>
        <w:pStyle w:val="Heading2"/>
      </w:pPr>
      <w:r>
        <w:t>6.2 事件治理能力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幂等去重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平台重试不重复建单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已实现并并发测试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触发/恢复合并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恢复更新原告警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已实现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维护窗抑制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计划操作不形成误告警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已实现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上游故障抑制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TOR或供电故障时抑制大量下游重复事件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已实现基础规则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陈旧告警过期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防止旧事件被新信号错误续命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已实现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来源健康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区分“设备无告警”与“采集源断了”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已实现基础状态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身份冲突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SN、设备名、位置不一致时阻断现场动作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已实现</w:t>
            </w:r>
          </w:p>
        </w:tc>
      </w:tr>
    </w:tbl>
    <w:p>
      <w:pPr>
        <w:spacing w:after="20"/>
      </w:pPr>
    </w:p>
    <w:p>
      <w:pPr>
        <w:pStyle w:val="Heading2"/>
      </w:pPr>
      <w:r>
        <w:t>6.3 多机事故原则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一个空调、供电、TOR或上联模块可以导致多台设备异常。系统保存“上游事故—下游受影响实体”关系，同时保留每台设备自己的证据和恢复状态。AI可以总结共同模式，但事故合并必须由确定性拓扑或经人工确认的候选关系支持。</w:t>
      </w:r>
    </w:p>
    <w:p>
      <w:pPr>
        <w:pStyle w:val="Heading1"/>
      </w:pPr>
      <w:r>
        <w:t>七、调查引擎与可解释结果</w:t>
      </w:r>
    </w:p>
    <w:p>
      <w:pPr>
        <w:pStyle w:val="Heading2"/>
      </w:pPr>
      <w:r>
        <w:t>7.1 调查输出对象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每次调查至少包含：已确认事实、证据引用、候选假设、支持证据、反证或缺口、置信等级、下一项只读查询、禁止动作、建议协作角色和停止条件。</w:t>
      </w:r>
    </w:p>
    <w:p>
      <w:pPr>
        <w:pStyle w:val="Heading2"/>
      </w:pPr>
      <w:r>
        <w:t>7.2 竞争假设而非单一答案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例如“端口抖动”不能直接等于“模块故障”。系统应并列保留端口服务状态、模块、线缆、对端模块、对端端口和上游网络等候选；更换模块后若告警恢复则停止，未恢复才进入光功率或线缆分支。这样既吸收经验，又避免一条SOP走到底。</w:t>
      </w:r>
    </w:p>
    <w:p>
      <w:pPr>
        <w:pStyle w:val="Heading2"/>
      </w:pPr>
      <w:r>
        <w:t>7.3 管理员可见的推导轨迹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管理员可以看到：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收到了哪些来源和事件ID；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哪些字段由哪个平台提供，哪些仍缺失；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哪些规则命中或未命中；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检索了哪些知识版本以及命中原因；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模型调用使用了哪个供应商、模型、提示词和约束版本；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Agent调用了哪些只读工具、参数、返回摘要和错误；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最终保留与排除哪些候选及其证据。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不展示模型隐藏思维链；展示的是可审计的产品推理材料和简短理由。</w:t>
      </w:r>
    </w:p>
    <w:p>
      <w:pPr>
        <w:pStyle w:val="Heading1"/>
      </w:pPr>
      <w:r>
        <w:t>八、RAG与知识资产架构</w:t>
      </w:r>
    </w:p>
    <w:p>
      <w:pPr>
        <w:pStyle w:val="Heading2"/>
      </w:pPr>
      <w:r>
        <w:t>8.1 知识资产模型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知识卡不是简单“问答文本”，应包含域、故障类型、触发特征、适用设备/版本、前置条件、排查分支、停止条件、禁止动作、验证方法、来源、审核人、版本和有效期。</w:t>
      </w:r>
    </w:p>
    <w:p>
      <w:pPr>
        <w:pStyle w:val="Heading2"/>
      </w:pPr>
      <w:r>
        <w:t>8.2 检索链路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审计信息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整理事件输入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事件ID与字段来源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2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抽取事实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事实及证据ID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3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生成检索条件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域、类型、设备、关键词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4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精确与规则召回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命中字段与规则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本地向量辅助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相似度与是否仅作候选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6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排序与裁剪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排名、原因、Top K和约束版本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7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组合模型上下文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知识版本、脱敏状态、提示词版本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8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生成并校验结果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引用合法性、输出状态、失败原因</w:t>
            </w:r>
          </w:p>
        </w:tc>
      </w:tr>
    </w:tbl>
    <w:p>
      <w:pPr>
        <w:spacing w:after="20"/>
      </w:pP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当前本地向量是384维的哈希词与中文n-gram特征，用于轻量相似度辅助，</w:t>
      </w:r>
      <w:r>
        <w:rPr>
          <w:rFonts w:ascii="Hiragino Sans GB" w:hAnsi="Hiragino Sans GB" w:eastAsia="Hiragino Sans GB"/>
          <w:b/>
          <w:color w:val="172B3A"/>
          <w:sz w:val="21"/>
        </w:rPr>
        <w:t>不是预训练语义Embedding</w:t>
      </w:r>
      <w:r>
        <w:rPr>
          <w:rFonts w:ascii="Hiragino Sans GB" w:hAnsi="Hiragino Sans GB" w:eastAsia="Hiragino Sans GB"/>
          <w:color w:val="172B3A"/>
          <w:sz w:val="21"/>
        </w:rPr>
        <w:t>。生产候选可增加真正的多语言Embedding与Reranker，但必须通过机房日志检索集验证后再发布。</w:t>
      </w:r>
    </w:p>
    <w:p>
      <w:pPr>
        <w:pStyle w:val="Heading2"/>
      </w:pPr>
      <w:r>
        <w:t>8.3 CMS式资产治理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知识、提示词、约束、模型配置、测试用例和运行快照统一进入AI资产目录，具备导入批次、精确重复与近重复检测、关系、反馈、版本、发布、回滚和审计。新处理方式不会删除旧经验，而是形成并列版本或新适用分支；审核时决定生效范围和优先级。</w:t>
      </w:r>
    </w:p>
    <w:p>
      <w:pPr>
        <w:pStyle w:val="Heading1"/>
      </w:pPr>
      <w:r>
        <w:t>九、大模型与只读Agent设计</w:t>
      </w:r>
    </w:p>
    <w:p>
      <w:pPr>
        <w:pStyle w:val="Heading2"/>
      </w:pPr>
      <w:r>
        <w:t>9.1 大模型任务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从口语化沟通和异构日志中抽取结构化事实，但不得创造身份字段。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把系统、网络、BMC、动环、OMS和现场证据综合成竞争假设。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在证据缺口中选择下一项最有价值的只读查询。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按系统组、网络组、现场和管理员生成不同深度的解释。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将完整处置过程整理为待审核经验候选。</w:t>
      </w:r>
    </w:p>
    <w:p>
      <w:pPr>
        <w:pStyle w:val="Heading2"/>
      </w:pPr>
      <w:r>
        <w:t>9.2 Agent运行契约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当前Agent每轮最多选择一个白名单只读工具，工具参数只允许incident_id和受限limit。应用执行工具后把结果返回模型，循环直到证据足够、没有安全查询或达到轮数上限。模型输出中的证据ID必须存在；未知ID被拒绝。候选状态只允许“候选”或“高可能”，不能直接宣称物理根因已确认。</w:t>
      </w:r>
    </w:p>
    <w:p>
      <w:pPr>
        <w:pStyle w:val="Heading2"/>
      </w:pPr>
      <w:r>
        <w:t>9.3 为什么不是纯工作流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工作流适合OMS状态、许可、复核、CC矩阵、发布和回滚等确定性过程；AI适合日志语言变化、跨源线索组合、候选优先级和解释。两者组合的价值是：</w:t>
      </w:r>
      <w:r>
        <w:rPr>
          <w:rFonts w:ascii="Hiragino Sans GB" w:hAnsi="Hiragino Sans GB" w:eastAsia="Hiragino Sans GB"/>
          <w:b/>
          <w:color w:val="172B3A"/>
          <w:sz w:val="21"/>
        </w:rPr>
        <w:t>流程保证不越界，AI减少人工读日志、跨窗口拼证据和反复沟通的时间。</w:t>
      </w:r>
    </w:p>
    <w:p>
      <w:pPr>
        <w:pStyle w:val="Heading2"/>
      </w:pPr>
      <w:r>
        <w:t>9.4 模型失效策略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模型未配置、超时、输出不合规或证据引用失败时，系统回退到规则与本地知识，并显示“模型未参与”或“模型增强失败”。禁止跨厂商自动发送数据；切换合作模型必须由管理员发布新提供商配置。</w:t>
      </w:r>
    </w:p>
    <w:p>
      <w:pPr>
        <w:pStyle w:val="Heading1"/>
      </w:pPr>
      <w:r>
        <w:t>十、现场作业与OMS状态机</w:t>
      </w:r>
    </w:p>
    <w:p>
      <w:pPr>
        <w:pStyle w:val="Heading2"/>
      </w:pPr>
      <w:r>
        <w:t>10.1 建立操作记录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根据已确认业务规则，OMS工单号、完整SN、机架位、是否从重装中发起为必填；机房编码、设备名、操作类型、紧急程度等可选。当前后端对前三项已有硬校验，“是否从重装中发起”仍允许unknown，是必须在试点前修复的P0差距。</w:t>
      </w:r>
    </w:p>
    <w:p>
      <w:pPr>
        <w:pStyle w:val="Heading2"/>
      </w:pPr>
      <w:r>
        <w:t>10.2 独立门禁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通过依据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不得替代者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身份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工单完整SN、扫码/OCR/人工完整SN、机架位一致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UID灯、设备名相似、模型推断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操作许可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从重装发起或接口人明确批准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AI判断“应该可以”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复核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双岗现场复核或授权远程复核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组长默认背书、群里无人回复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开始操作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三项门禁全通过并二次确认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单一按钮误触</w:t>
            </w:r>
          </w:p>
        </w:tc>
      </w:tr>
    </w:tbl>
    <w:p>
      <w:pPr>
        <w:spacing w:after="20"/>
      </w:pP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双岗复核人可以是普通现场组员，与组长不是同一权限等级；值班仅一人时，将SN小块照片或扫码结果提交远程确认。紧急夜间作业仍需要找到有权责任人，产品可以升级提醒但不能虚构批准。</w:t>
      </w:r>
    </w:p>
    <w:p>
      <w:pPr>
        <w:pStyle w:val="Heading2"/>
      </w:pPr>
      <w:r>
        <w:t>10.3 状态机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状态按“待身份确认—身份阻断—待许可—许可阻断—待复核—复核阻断—可操作—操作中—成功完成/失败完成”流转。每次变化保存操作者、时间、依据和工单快照。</w:t>
      </w:r>
    </w:p>
    <w:p>
      <w:pPr>
        <w:pStyle w:val="Heading2"/>
      </w:pPr>
      <w:r>
        <w:t>10.4 结束操作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结束不是一个按钮直接结单。操作者需要选择成功或失败、故障详情，填写反馈；涉及备件时记录上线SN与下线SN；再确认信息。成功需记录三网、业务或告警恢复证据；失败需记录已完成步骤、仍存在现象、无法继续原因和已通知接口人。</w:t>
      </w:r>
    </w:p>
    <w:p>
      <w:pPr>
        <w:pStyle w:val="Heading1"/>
      </w:pPr>
      <w:r>
        <w:t>十一、机房等级与CC判断</w:t>
      </w:r>
    </w:p>
    <w:p>
      <w:pPr>
        <w:pStyle w:val="Heading2"/>
      </w:pPr>
      <w:r>
        <w:t>11.1 规则边界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CC是电话通报流程，AI只在触发前提醒，不介入后续每次电话。机房资产中标记核心或普通等级；未知等级时不默认放大权限。</w:t>
      </w:r>
    </w:p>
    <w:p>
      <w:pPr>
        <w:pStyle w:val="Heading2"/>
      </w:pPr>
      <w:r>
        <w:t>11.2 基础矩阵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32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核心机房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普通机房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系统动作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单路掉电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CC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通常联系接口人与动环，按影响升级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依据机房等级和影响输出提醒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双路掉电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CC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设备大面积宕机时升级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强提醒并记录依据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漏水未影响线上设备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按核心风险与SOP确认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一般不CC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联系动环、持续监测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漏水导致核心设备故障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CC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按实际影响升级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形成事故并关联受影响设备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高温达到通报阈值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CC或按SOP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按阈值和影响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立即提醒首次通报时限</w:t>
            </w:r>
          </w:p>
        </w:tc>
      </w:tr>
    </w:tbl>
    <w:p>
      <w:pPr>
        <w:spacing w:after="20"/>
      </w:pP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具体温度阈值和通报制度必须由客户SOP导入，不由通用大模型发明。</w:t>
      </w:r>
    </w:p>
    <w:p>
      <w:pPr>
        <w:pStyle w:val="Heading1"/>
      </w:pPr>
      <w:r>
        <w:t>十二、权限、安全与审计</w:t>
      </w:r>
    </w:p>
    <w:p>
      <w:pPr>
        <w:pStyle w:val="Heading2"/>
      </w:pPr>
      <w:r>
        <w:t>12.1 角色权限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角色包括现场操作员、机房组长、接口人、AI管理员和最高管理员。不同角色看到不同字段；普通现场不应看到无关业务原文，AI管理员默认不能直接打开完整敏感原始数据。</w:t>
      </w:r>
    </w:p>
    <w:p>
      <w:pPr>
        <w:pStyle w:val="Heading2"/>
      </w:pPr>
      <w:r>
        <w:t>12.2 数据出域策略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默认只允许脱敏摘要、证据ID、知识ID和受控属性进入模型。完整SN、内部IP、客户身份、业务载荷和原始日志默认阻断；若客户明确批准外部云模型，仍需按字段级白名单、传输加密、供应商合同和审计策略执行。</w:t>
      </w:r>
    </w:p>
    <w:p>
      <w:pPr>
        <w:pStyle w:val="Heading2"/>
      </w:pPr>
      <w:r>
        <w:t>12.3 原始数据解封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只有最高管理员可在填写原因并二次确认后查看原始记录；系统记录申请人、时间、事件、原因和访问范围。该能力用于溯源，不应成为日常查看方式。</w:t>
      </w:r>
    </w:p>
    <w:p>
      <w:pPr>
        <w:pStyle w:val="Heading2"/>
      </w:pPr>
      <w:r>
        <w:t>12.4 提示词注入与工具安全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外部日志和工具结果视为不可信数据，不能拼接进System提示词；模型只接触结构化工具结果。工具白名单、JSON Schema、参数限制、超时和返回大小由应用层强制，不能只依靠提示词。</w:t>
      </w:r>
    </w:p>
    <w:p>
      <w:pPr>
        <w:pStyle w:val="Heading1"/>
      </w:pPr>
      <w:r>
        <w:t>十三、数据存储与审计模型</w:t>
      </w:r>
    </w:p>
    <w:p>
      <w:pPr>
        <w:pStyle w:val="Heading2"/>
      </w:pPr>
      <w:r>
        <w:t>13.1 当前存储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原型使用SQLite并启用WAL，覆盖事件、输入、审计、设施、知识、提示词、约束、模型提供商、RAG运行、Agent步骤、资产、OMS作业、平台事件、拓扑、生产告警治理、演练、AI资产治理和备份记录。</w:t>
      </w:r>
    </w:p>
    <w:p>
      <w:pPr>
        <w:pStyle w:val="Heading2"/>
      </w:pPr>
      <w:r>
        <w:t>13.2 生产演进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数据类型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原型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生产建议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事务与状态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SQLite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PostgreSQL或企业关系数据库，主备与时间点恢复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原始日志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受控数据库记录/引用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保留在客户日志平台或对象存储，机鉴保存引用与摘要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检索索引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本地结构化检索与哈希向量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专用全文与向量索引，版本隔离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审计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数据库表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追加写、归档、权限隔离和防篡改策略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备份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SQLite在线备份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数据库备份、对象存储版本、恢复演练</w:t>
            </w:r>
          </w:p>
        </w:tc>
      </w:tr>
    </w:tbl>
    <w:p>
      <w:pPr>
        <w:spacing w:after="20"/>
      </w:pPr>
    </w:p>
    <w:p>
      <w:pPr>
        <w:pStyle w:val="Heading2"/>
      </w:pPr>
      <w:r>
        <w:t>13.3 数据保留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生产前需由客户定义事件、原始日志引用、提示词版本、RAG轨迹、现场照片/OCR、工单快照和审计日志的保留周期。删除策略必须区分业务数据、审计证据和AI资产，不能用同一TTL粗暴清理。</w:t>
      </w:r>
    </w:p>
    <w:p>
      <w:pPr>
        <w:pStyle w:val="Heading1"/>
      </w:pPr>
      <w:r>
        <w:t>十四、部署、可用性与可观测性</w:t>
      </w:r>
    </w:p>
    <w:p>
      <w:pPr>
        <w:pStyle w:val="Heading2"/>
      </w:pPr>
      <w:r>
        <w:t>14.1 当前部署形态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当前服务基于Python标准库ThreadingHTTPServer，默认监听127.0.0.1，静态前端和API同进程，适合单机开发、演示和功能试点，不构成生产高可用架构。</w:t>
      </w:r>
    </w:p>
    <w:p>
      <w:pPr>
        <w:pStyle w:val="Heading2"/>
      </w:pPr>
      <w:r>
        <w:t>14.2 试点部署建议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部署在客户机房或其授权内网，外部模型默认关闭。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反向代理统一TLS、身份认证、请求大小和速率限制。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采集适配器与核心服务解耦，单源失败不拖垮调查平台。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模型服务、日志平台和OMS均使用最小权限只读账号；写操作单独审批。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前后端健康检查、数据库备份、源健康和模型调用状态纳入监控。</w:t>
      </w:r>
    </w:p>
    <w:p>
      <w:pPr>
        <w:pStyle w:val="Heading2"/>
      </w:pPr>
      <w:r>
        <w:t>14.3 生产高可用目标架构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核心API至少双实例，数据库主备，采集事件经持久队列缓冲，外部依赖使用超时、熔断和重试；模型服务不可用时不影响事件接收和现场门禁。备份至少覆盖事务数据库、AI资产版本和审计记录，原始日志由其所属平台负责主备。</w:t>
      </w:r>
    </w:p>
    <w:p>
      <w:pPr>
        <w:pStyle w:val="Heading2"/>
      </w:pPr>
      <w:r>
        <w:t>14.4 自身可观测性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至少监控接入成功率、来源延迟、队列积压、重复率、关联率、身份冲突、RAG耗时、模型失败率、工具调用失败、人工等待、工单超时、备份恢复和权限拒绝。OpenTelemetry Collector也应监控自身接收与导出失败，避免“没有数据”被误判为“没有故障”。</w:t>
      </w:r>
      <w:hyperlink r:id="rId18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Collector内部遥测</w:t>
        </w:r>
      </w:hyperlink>
    </w:p>
    <w:p>
      <w:pPr>
        <w:pStyle w:val="Heading1"/>
      </w:pPr>
      <w:r>
        <w:t>十五、容量与性能设计</w:t>
      </w:r>
    </w:p>
    <w:p>
      <w:pPr>
        <w:pStyle w:val="Heading2"/>
      </w:pPr>
      <w:r>
        <w:t>15.1 业务规模基线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当前业务访谈给出的参考规模为单机房约十万台运行服务器、约十名现场运维、日均约二十张工单，夜间和周末可能只有一名值班人员。该数字用于确定设计优先级，不等于当前原型已通过十万设备压测。</w:t>
      </w:r>
    </w:p>
    <w:p>
      <w:pPr>
        <w:pStyle w:val="Heading2"/>
      </w:pPr>
      <w:r>
        <w:t>15.2 性能目标建议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试点建议值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Webhook接收P95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不高于2秒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不包含上游平台延迟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高优告警入队到可见P95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不高于10秒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模型调查可异步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规则与知识基线P95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不高于5秒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不等待外部模型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AI首轮调查P95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不高于30秒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按私有模型能力调整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重复事件新增率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接近0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同一来源事件ID幂等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事件接收可用性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试点99.5%，生产再定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需HA后验证</w:t>
            </w:r>
          </w:p>
        </w:tc>
      </w:tr>
    </w:tbl>
    <w:p>
      <w:pPr>
        <w:spacing w:after="20"/>
      </w:pPr>
    </w:p>
    <w:p>
      <w:pPr>
        <w:pStyle w:val="Heading2"/>
      </w:pPr>
      <w:r>
        <w:t>15.3 压测维度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需要覆盖突发告警风暴、单TOR影响数百设备、动环区域事故、重复重试、恢复风暴、模型超时、日志平台慢查询、数据库写入竞争和大批量OMS导入。容量结论必须以客户实际事件率而非设备总数单独估算。</w:t>
      </w:r>
    </w:p>
    <w:p>
      <w:pPr>
        <w:pStyle w:val="Heading1"/>
      </w:pPr>
      <w:r>
        <w:t>十六、生产落地差距与实施路线</w:t>
      </w:r>
    </w:p>
    <w:p>
      <w:pPr>
        <w:pStyle w:val="Heading2"/>
      </w:pPr>
      <w:r>
        <w:t>16.1 P0：试点前必须完成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差距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完成标准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OMS“是否从重装中发起”后端必填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未明确许可来源仍可建记录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unknown被拒绝，前后端和API测试一致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企业身份与RBAC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当前演示头部身份不可用于生产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接入SSO/统一身份，角色和机房范围由组织系统下发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至少一个真实监控源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无法证明自动接入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70%以上试点故障无需人工复制原始数据的目标可测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真实资产/拓扑身份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设备关联不可完全信任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SN、机架位、设备名、端口来源可追溯，冲突可阻断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数据安全评审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外部模型可能造成出域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字段清单、网络边界、账号权限和审计通过审批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真实现场评测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模拟结果不能代表生产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完成盲测、影子运行和人工复核，不自动执行</w:t>
            </w:r>
          </w:p>
        </w:tc>
      </w:tr>
    </w:tbl>
    <w:p>
      <w:pPr>
        <w:spacing w:after="20"/>
      </w:pPr>
    </w:p>
    <w:p>
      <w:pPr>
        <w:pStyle w:val="Heading2"/>
      </w:pPr>
      <w:r>
        <w:t>16.2 P1：试点期间完成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接入第二类监控源，验证跨网络—系统—现场关联。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上线私有模型或合作厂商适配器，完成模型对比与降级演练。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接入OMS只读接口和资产快照，减少人工录入。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建立提示词、知识和约束的测试—双确认发布—回滚流程。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完成性能、备份恢复、源健康和故障演练。</w:t>
      </w:r>
    </w:p>
    <w:p>
      <w:pPr>
        <w:pStyle w:val="Heading2"/>
      </w:pPr>
      <w:r>
        <w:t>16.3 P2：规模化前完成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服务与采集器解耦、数据库高可用、持久队列和多实例。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多机房数据域与权限隔离、分区与归档。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真正语义Embedding/Reranker和行业检索集优化。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与消息平台、值班、电话升级和资产系统打通，但保持责任边界。</w:t>
      </w:r>
    </w:p>
    <w:p>
      <w:pPr>
        <w:pStyle w:val="Heading1"/>
      </w:pPr>
      <w:r>
        <w:t>附录A：核心模块与职责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server.py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HTTP API、静态页面和路由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service.py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事件接收、标准化、关联和调查编排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rules.py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确定性诊断与安全规则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investigation.py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事实、假设、验证计划、证据合并与模型增强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knowledge.py / embeddings.py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版本化知识、混合检索和本地相似度辅助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rag_trace.py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八步RAG轨迹与版本快照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ai.py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可选OpenAI-compatible模型增强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agent.py / agent_tools.py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只读、证据约束的调查Agent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providers.py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本地、合作厂商和授权云模型适配器注册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constraints.py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可编辑检索策略与不可编辑安全硬约束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operations.py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OMS现场作业快照、门禁、状态机和完成反馈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production.py / correlation.py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告警治理、来源健康、事件关联、分派与反馈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governance.py / releases.py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AI资产CMS、问题治理、发布与回滚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lab.py / drills.py / sandbox_validation.py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接入模拟、故障演练和隔离评测</w:t>
            </w:r>
          </w:p>
        </w:tc>
      </w:tr>
    </w:tbl>
    <w:p>
      <w:pPr>
        <w:spacing w:after="20"/>
      </w:pPr>
    </w:p>
    <w:p>
      <w:pPr>
        <w:pStyle w:val="Heading1"/>
      </w:pPr>
      <w:r>
        <w:t>附录B：主要API域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API域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主要能力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/api/ingest/*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告警、SigNoz、日志和现场反馈接入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/api/incidents/*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故障列表、详情、状态和调查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/api/production/*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告警治理、维护窗、来源健康、身份、变更、值班与分派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/api/operations/*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OMS导入、身份、许可、复核、开始与结束操作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/api/lab/*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六平台模拟接入、事件、拓扑和场景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/api/drills/*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定向/盲测演练与运行轨迹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/api/agent/*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调查Agent运行与步骤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/api/ai-admin/*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知识、提示词、约束、模型、RAG、评测、发布、原始访问和备份</w:t>
            </w:r>
          </w:p>
        </w:tc>
      </w:tr>
    </w:tbl>
    <w:p>
      <w:pPr>
        <w:spacing w:after="20"/>
      </w:pPr>
    </w:p>
    <w:p>
      <w:pPr>
        <w:pStyle w:val="Heading1"/>
      </w:pPr>
      <w:r>
        <w:t>附录C：能力真实性状态表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128项自动化测试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当前代码实测通过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2026-08-27运行，44.765秒，全部OK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六平台模拟接入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已实现并测试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实验室API与幂等测试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25类故障演练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已实现并测试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定向、盲测、逐步触发和分支测试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120题沙盒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已有隔离验证报告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仅证明沙盒门禁和模拟链路，不证明生产准确率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真实客户监控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未接入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待试点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真实大模型效果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未建立当前基线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接口已具备，需按模型选型与评测报告执行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十万设备生产容量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未验证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待压测和真实流量影子运行</w:t>
            </w:r>
          </w:p>
        </w:tc>
      </w:tr>
    </w:tbl>
    <w:p>
      <w:pPr>
        <w:spacing w:after="20"/>
      </w:pPr>
    </w:p>
    <w:p>
      <w:pPr>
        <w:pStyle w:val="Heading1"/>
      </w:pPr>
      <w:r>
        <w:t>附录D：官方参考资料</w:t>
      </w:r>
    </w:p>
    <w:p>
      <w:pPr>
        <w:numPr>
          <w:ilvl w:val="0"/>
          <w:numId w:val="19"/>
        </w:numPr>
        <w:spacing w:after="80" w:line="300" w:lineRule="auto"/>
      </w:pPr>
      <w:hyperlink r:id="rId19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OpenTelemetry文档</w:t>
        </w:r>
      </w:hyperlink>
    </w:p>
    <w:p>
      <w:pPr>
        <w:numPr>
          <w:ilvl w:val="0"/>
          <w:numId w:val="19"/>
        </w:numPr>
        <w:spacing w:after="80" w:line="300" w:lineRule="auto"/>
      </w:pPr>
      <w:hyperlink r:id="rId20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OpenTelemetry Collector</w:t>
        </w:r>
      </w:hyperlink>
    </w:p>
    <w:p>
      <w:pPr>
        <w:numPr>
          <w:ilvl w:val="0"/>
          <w:numId w:val="19"/>
        </w:numPr>
        <w:spacing w:after="80" w:line="300" w:lineRule="auto"/>
      </w:pPr>
      <w:hyperlink r:id="rId15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OpenTelemetry日志规范</w:t>
        </w:r>
      </w:hyperlink>
    </w:p>
    <w:p>
      <w:pPr>
        <w:numPr>
          <w:ilvl w:val="0"/>
          <w:numId w:val="19"/>
        </w:numPr>
        <w:spacing w:after="80" w:line="300" w:lineRule="auto"/>
      </w:pPr>
      <w:hyperlink r:id="rId17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SigNoz Logs API</w:t>
        </w:r>
      </w:hyperlink>
    </w:p>
    <w:p>
      <w:pPr>
        <w:numPr>
          <w:ilvl w:val="0"/>
          <w:numId w:val="19"/>
        </w:numPr>
        <w:spacing w:after="80" w:line="300" w:lineRule="auto"/>
      </w:pPr>
      <w:hyperlink r:id="rId16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DMTF Redfish规范</w:t>
        </w:r>
      </w:hyperlink>
    </w:p>
    <w:p>
      <w:pPr>
        <w:numPr>
          <w:ilvl w:val="0"/>
          <w:numId w:val="19"/>
        </w:numPr>
        <w:spacing w:after="80" w:line="300" w:lineRule="auto"/>
      </w:pPr>
      <w:hyperlink r:id="rId21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DMTF Redfish Interface Emulator</w:t>
        </w:r>
      </w:hyperlink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6679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/>
        <w:color w:val="6679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985"/>
        <w:sz w:val="17"/>
      </w:rPr>
      <w:t>内部资料 · 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5" w:color="D4E1E5"/>
      </w:pBdr>
    </w:pPr>
    <w:r>
      <w:rPr>
        <w:rFonts w:ascii="Hiragino Sans GB" w:hAnsi="Hiragino Sans GB" w:eastAsia="Hiragino Sans GB"/>
        <w:color w:val="667985"/>
        <w:sz w:val="17"/>
      </w:rPr>
      <w:t>机鉴 · IDC AI故障调查与现场协同平台  |  技术方案 V0.1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Hiragino Sans GB" w:hAnsi="Hiragino Sans GB" w:eastAsia="Hiragino Sans GB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346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opentelemetry.io/docs/concepts/signals/" TargetMode="External"/><Relationship Id="rId14" Type="http://schemas.openxmlformats.org/officeDocument/2006/relationships/hyperlink" Target="https://opentelemetry.io/docs/collector/architecture/" TargetMode="External"/><Relationship Id="rId15" Type="http://schemas.openxmlformats.org/officeDocument/2006/relationships/hyperlink" Target="https://opentelemetry.io/docs/specs/otel/logs/" TargetMode="External"/><Relationship Id="rId16" Type="http://schemas.openxmlformats.org/officeDocument/2006/relationships/hyperlink" Target="https://redfish.dmtf.org/schemas/DSP0266_1.13.0.pdf" TargetMode="External"/><Relationship Id="rId17" Type="http://schemas.openxmlformats.org/officeDocument/2006/relationships/hyperlink" Target="https://signoz.io/docs/logs-management/logs-api/overview/" TargetMode="External"/><Relationship Id="rId18" Type="http://schemas.openxmlformats.org/officeDocument/2006/relationships/hyperlink" Target="https://opentelemetry.io/docs/collector/internal-telemetry/" TargetMode="External"/><Relationship Id="rId19" Type="http://schemas.openxmlformats.org/officeDocument/2006/relationships/hyperlink" Target="https://opentelemetry.io/docs/" TargetMode="External"/><Relationship Id="rId20" Type="http://schemas.openxmlformats.org/officeDocument/2006/relationships/hyperlink" Target="https://opentelemetry.io/docs/collector/" TargetMode="External"/><Relationship Id="rId21" Type="http://schemas.openxmlformats.org/officeDocument/2006/relationships/hyperlink" Target="https://github.com/DMTF/Redfish-Interface-Emul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机鉴 · 技术方案与系统架构设计</dc:title>
  <dc:subject>机鉴技术方案、系统架构、数据流、安全和生产落地差距</dc:subject>
  <dc:creator>机鉴项目组</dc:creator>
  <cp:keywords>IDC, AI, AIOps, 系统架构, RAG, Agent, OMS, 现场协同</cp:keywords>
  <dc:description>V0.1 / 技术评审稿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