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Hiragino Sans GB" w:hAnsi="Hiragino Sans GB" w:eastAsia="Hiragino Sans GB"/>
          <w:b/>
          <w:color w:val="1C9A91"/>
          <w:sz w:val="19"/>
        </w:rPr>
        <w:t>AI MODEL SELECTION REPORT  /  V0.1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72B3A"/>
          <w:sz w:val="56"/>
        </w:rPr>
        <w:t>机鉴</w:t>
      </w:r>
    </w:p>
    <w:p>
      <w:pPr>
        <w:spacing w:after="60"/>
      </w:pPr>
      <w:r>
        <w:rPr>
          <w:rFonts w:ascii="Hiragino Sans GB" w:hAnsi="Hiragino Sans GB" w:eastAsia="Hiragino Sans GB"/>
          <w:b/>
          <w:color w:val="13465B"/>
          <w:sz w:val="32"/>
        </w:rPr>
        <w:t>IDC AI故障调查与现场协同平台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76B87"/>
          <w:sz w:val="40"/>
        </w:rPr>
        <w:t>AI模型选型报告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IDC-AI-OPS-MODEL-004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版本 / 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V0.1 / 选型评审稿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2026年8月27日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关联文档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《机鉴技术方案与系统架构设计》V0.1、《机鉴AI评测方案与基线测试报告》V0.1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产品、架构、AI研发、平台研发、安全、采购、合作厂商与试点评审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保密等级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内部资料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5F3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color w:val="13465B"/>
                <w:sz w:val="19"/>
              </w:rPr>
              <w:t>默认本地或私有模型，授权云模型只作对照；最终型号必须通过机鉴盲测，不能按通用榜单直接定标。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Hiragino Sans GB" w:hAnsi="Hiragino Sans GB" w:eastAsia="Hiragino Sans GB"/>
          <w:b/>
          <w:color w:val="176B87"/>
          <w:sz w:val="34"/>
        </w:rPr>
        <w:t>目录</w:t>
      </w:r>
    </w:p>
    <w:p>
      <w:pPr>
        <w:spacing w:after="200"/>
      </w:pPr>
      <w:r>
        <w:rPr>
          <w:rFonts w:ascii="Hiragino Sans GB" w:hAnsi="Hiragino Sans GB" w:eastAsia="Hiragino Sans GB"/>
          <w:color w:val="667985"/>
          <w:sz w:val="19"/>
        </w:rPr>
        <w:t>导入飞书后，可依据Word Heading 1/2/3自动生成可折叠的上下级目录。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01  </w:t>
      </w:r>
      <w:r>
        <w:rPr>
          <w:rFonts w:ascii="Hiragino Sans GB" w:hAnsi="Hiragino Sans GB" w:eastAsia="Hiragino Sans GB"/>
          <w:b/>
          <w:color w:val="13465B"/>
          <w:sz w:val="19"/>
        </w:rPr>
        <w:t>一、选型结论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02  </w:t>
      </w:r>
      <w:r>
        <w:rPr>
          <w:rFonts w:ascii="Hiragino Sans GB" w:hAnsi="Hiragino Sans GB" w:eastAsia="Hiragino Sans GB"/>
          <w:b/>
          <w:color w:val="13465B"/>
          <w:sz w:val="19"/>
        </w:rPr>
        <w:t>二、为什么需要大模型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03  </w:t>
      </w:r>
      <w:r>
        <w:rPr>
          <w:rFonts w:ascii="Hiragino Sans GB" w:hAnsi="Hiragino Sans GB" w:eastAsia="Hiragino Sans GB"/>
          <w:b/>
          <w:color w:val="13465B"/>
          <w:sz w:val="19"/>
        </w:rPr>
        <w:t>三、模型任务拆分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04  </w:t>
      </w:r>
      <w:r>
        <w:rPr>
          <w:rFonts w:ascii="Hiragino Sans GB" w:hAnsi="Hiragino Sans GB" w:eastAsia="Hiragino Sans GB"/>
          <w:b/>
          <w:color w:val="13465B"/>
          <w:sz w:val="19"/>
        </w:rPr>
        <w:t>四、强制约束与淘汰条件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05  </w:t>
      </w:r>
      <w:r>
        <w:rPr>
          <w:rFonts w:ascii="Hiragino Sans GB" w:hAnsi="Hiragino Sans GB" w:eastAsia="Hiragino Sans GB"/>
          <w:b/>
          <w:color w:val="13465B"/>
          <w:sz w:val="19"/>
        </w:rPr>
        <w:t>五、候选模型池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06  </w:t>
      </w:r>
      <w:r>
        <w:rPr>
          <w:rFonts w:ascii="Hiragino Sans GB" w:hAnsi="Hiragino Sans GB" w:eastAsia="Hiragino Sans GB"/>
          <w:b/>
          <w:color w:val="13465B"/>
          <w:sz w:val="19"/>
        </w:rPr>
        <w:t>六、竞争性比较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07  </w:t>
      </w:r>
      <w:r>
        <w:rPr>
          <w:rFonts w:ascii="Hiragino Sans GB" w:hAnsi="Hiragino Sans GB" w:eastAsia="Hiragino Sans GB"/>
          <w:b/>
          <w:color w:val="13465B"/>
          <w:sz w:val="19"/>
        </w:rPr>
        <w:t>七、加权评分模型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08  </w:t>
      </w:r>
      <w:r>
        <w:rPr>
          <w:rFonts w:ascii="Hiragino Sans GB" w:hAnsi="Hiragino Sans GB" w:eastAsia="Hiragino Sans GB"/>
          <w:b/>
          <w:color w:val="13465B"/>
          <w:sz w:val="19"/>
        </w:rPr>
        <w:t>八、主模型部署策略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09  </w:t>
      </w:r>
      <w:r>
        <w:rPr>
          <w:rFonts w:ascii="Hiragino Sans GB" w:hAnsi="Hiragino Sans GB" w:eastAsia="Hiragino Sans GB"/>
          <w:b/>
          <w:color w:val="13465B"/>
          <w:sz w:val="19"/>
        </w:rPr>
        <w:t>九、Embedding与Reranker选型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10  </w:t>
      </w:r>
      <w:r>
        <w:rPr>
          <w:rFonts w:ascii="Hiragino Sans GB" w:hAnsi="Hiragino Sans GB" w:eastAsia="Hiragino Sans GB"/>
          <w:b/>
          <w:color w:val="13465B"/>
          <w:sz w:val="19"/>
        </w:rPr>
        <w:t>十、提示词、RAG与模型的组合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11  </w:t>
      </w:r>
      <w:r>
        <w:rPr>
          <w:rFonts w:ascii="Hiragino Sans GB" w:hAnsi="Hiragino Sans GB" w:eastAsia="Hiragino Sans GB"/>
          <w:b/>
          <w:color w:val="13465B"/>
          <w:sz w:val="19"/>
        </w:rPr>
        <w:t>十一、模型供应商适配契约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12  </w:t>
      </w:r>
      <w:r>
        <w:rPr>
          <w:rFonts w:ascii="Hiragino Sans GB" w:hAnsi="Hiragino Sans GB" w:eastAsia="Hiragino Sans GB"/>
          <w:b/>
          <w:color w:val="13465B"/>
          <w:sz w:val="19"/>
        </w:rPr>
        <w:t>十二、成本与容量评估方法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13  </w:t>
      </w:r>
      <w:r>
        <w:rPr>
          <w:rFonts w:ascii="Hiragino Sans GB" w:hAnsi="Hiragino Sans GB" w:eastAsia="Hiragino Sans GB"/>
          <w:b/>
          <w:color w:val="13465B"/>
          <w:sz w:val="19"/>
        </w:rPr>
        <w:t>十三、POC实施方案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14  </w:t>
      </w:r>
      <w:r>
        <w:rPr>
          <w:rFonts w:ascii="Hiragino Sans GB" w:hAnsi="Hiragino Sans GB" w:eastAsia="Hiragino Sans GB"/>
          <w:b/>
          <w:color w:val="13465B"/>
          <w:sz w:val="19"/>
        </w:rPr>
        <w:t>十四、风险与控制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15  </w:t>
      </w:r>
      <w:r>
        <w:rPr>
          <w:rFonts w:ascii="Hiragino Sans GB" w:hAnsi="Hiragino Sans GB" w:eastAsia="Hiragino Sans GB"/>
          <w:b/>
          <w:color w:val="13465B"/>
          <w:sz w:val="19"/>
        </w:rPr>
        <w:t>十五、最终决策建议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16  </w:t>
      </w:r>
      <w:r>
        <w:rPr>
          <w:rFonts w:ascii="Hiragino Sans GB" w:hAnsi="Hiragino Sans GB" w:eastAsia="Hiragino Sans GB"/>
          <w:b/>
          <w:color w:val="13465B"/>
          <w:sz w:val="19"/>
        </w:rPr>
        <w:t>附录A：推荐决策表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17  </w:t>
      </w:r>
      <w:r>
        <w:rPr>
          <w:rFonts w:ascii="Hiragino Sans GB" w:hAnsi="Hiragino Sans GB" w:eastAsia="Hiragino Sans GB"/>
          <w:b/>
          <w:color w:val="13465B"/>
          <w:sz w:val="19"/>
        </w:rPr>
        <w:t>附录B：复测触发条件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18  </w:t>
      </w:r>
      <w:r>
        <w:rPr>
          <w:rFonts w:ascii="Hiragino Sans GB" w:hAnsi="Hiragino Sans GB" w:eastAsia="Hiragino Sans GB"/>
          <w:b/>
          <w:color w:val="13465B"/>
          <w:sz w:val="19"/>
        </w:rPr>
        <w:t>附录C：官方资料</w:t>
      </w:r>
    </w:p>
    <w:p>
      <w:r>
        <w:br w:type="page"/>
      </w:r>
    </w:p>
    <w:p>
      <w:pPr>
        <w:pStyle w:val="Heading1"/>
      </w:pPr>
      <w:r>
        <w:t>一、选型结论</w:t>
      </w:r>
    </w:p>
    <w:p>
      <w:pPr>
        <w:pStyle w:val="Heading2"/>
      </w:pPr>
      <w:r>
        <w:t>1.1 推荐方案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机鉴采用</w:t>
      </w:r>
      <w:r>
        <w:rPr>
          <w:rFonts w:ascii="Hiragino Sans GB" w:hAnsi="Hiragino Sans GB" w:eastAsia="Hiragino Sans GB"/>
          <w:b/>
          <w:color w:val="172B3A"/>
          <w:sz w:val="21"/>
        </w:rPr>
        <w:t>供应商中立的OpenAI-compatible模型适配层 + 本地/私有部署优先 + 授权云模型作为对照组</w:t>
      </w:r>
      <w:r>
        <w:rPr>
          <w:rFonts w:ascii="Hiragino Sans GB" w:hAnsi="Hiragino Sans GB" w:eastAsia="Hiragino Sans GB"/>
          <w:color w:val="172B3A"/>
          <w:sz w:val="21"/>
        </w:rPr>
        <w:t>。第一阶段不把产品绑死在单一厂商上，先用一款可私有部署的中文工具调用模型完成真实试点，再用一款高能力云模型做离线对照，最终以机鉴专用盲测结果定标。</w:t>
      </w:r>
    </w:p>
    <w:p>
      <w:pPr>
        <w:pStyle w:val="Heading2"/>
      </w:pPr>
      <w:r>
        <w:t>1.2 推荐组合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推荐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选择理由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默认主模型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客户内网部署的Qwen开源权重系列，优先选择满足硬件的中等规模Instruct/Thinking版本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中文、工具调用、开放权重、部署方式多，便于数据不出域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候选，尚未在本项目真实运行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合作厂商主模型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合作方提供的OpenAI-compatible私有模型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保留商务与国产化空间，不改业务核心代码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适配器已设计，待厂商接入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云端能力上界对照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OpenAI GPT-5.6 Terra/Sol、Claude Sonnet 5或Gemini 3.6 Flash中的授权候选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用于衡量本地模型与前沿模型差距，不默认接触客户原始数据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待安全审批和离线脱敏评测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低成本/高吞吐候选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DeepSeek V4 Flash或同级合作方模型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OpenAI/Anthropic兼容接口、JSON和工具调用，适合批量实验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候选，需稳定性与数据合规评估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Embedding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Qwen3-Embedding 0.6B起步，4B作为质量对照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多语言、可私有化，存在不同规模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候选，当前尚未接入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Reranker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Qwen3-Reranker 0.6B起步，必要时4B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降低“相似但不适用”的知识误召回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候选，当前尚未接入</w:t>
            </w:r>
          </w:p>
        </w:tc>
      </w:tr>
    </w:tbl>
    <w:p>
      <w:pPr>
        <w:spacing w:after="20"/>
      </w:pPr>
    </w:p>
    <w:p>
      <w:pPr>
        <w:pStyle w:val="Heading2"/>
      </w:pPr>
      <w:r>
        <w:t>1.3 关键限制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以上是</w:t>
      </w:r>
      <w:r>
        <w:rPr>
          <w:rFonts w:ascii="Hiragino Sans GB" w:hAnsi="Hiragino Sans GB" w:eastAsia="Hiragino Sans GB"/>
          <w:b/>
          <w:color w:val="172B3A"/>
          <w:sz w:val="21"/>
        </w:rPr>
        <w:t>候选路线</w:t>
      </w:r>
      <w:r>
        <w:rPr>
          <w:rFonts w:ascii="Hiragino Sans GB" w:hAnsi="Hiragino Sans GB" w:eastAsia="Hiragino Sans GB"/>
          <w:color w:val="172B3A"/>
          <w:sz w:val="21"/>
        </w:rPr>
        <w:t>，不是已经达到生产准确率的结论。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当前产品的本地向量只是哈希词与中文n-gram特征，不是Qwen3-Embedding或其他预训练Embedding。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模型不能决定设备身份、操作许可、断电、复核和责任归属。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不允许某个模型失败后自动把数据发送给另一家云厂商。</w:t>
      </w:r>
    </w:p>
    <w:p>
      <w:pPr>
        <w:pStyle w:val="Heading1"/>
      </w:pPr>
      <w:r>
        <w:t>二、为什么需要大模型</w:t>
      </w:r>
    </w:p>
    <w:p>
      <w:pPr>
        <w:pStyle w:val="Heading2"/>
      </w:pPr>
      <w:r>
        <w:t>2.1 规则和工作流已经能做什么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规则与工作流适合确定性问题：事件去重、恢复合并、维护窗、CC矩阵、完整SN校验、OMS状态机、许可、复核、发布、回滚和审计。这些能力不应交给模型。</w:t>
      </w:r>
    </w:p>
    <w:p>
      <w:pPr>
        <w:pStyle w:val="Heading2"/>
      </w:pPr>
      <w:r>
        <w:t>2.2 大模型不可替代的提效点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AI任务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纯规则难点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对业务的价值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异构事实抽取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同一故障在Syslog、BMC、聊天和工单中表达不同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减少人工读原文和复制字段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跨源证据综合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网络、系统、动环和现场信息分散在不同窗口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快速形成同一事件档案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竞争假设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同一现象可能由模块、线缆、端口、主板或上游故障造成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避免单一路径误判和无效换件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下一项调查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证据缺口随结果变化，固定SOP容易走到底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每轮选择最能缩小范围的只读查询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角色化解释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网络组、系统组、现场和管理员需要不同信息密度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降低沟通往返和误解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经验结构化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现场处理过程口语化、分散、分支多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形成待审核知识候选，不覆盖旧经验</w:t>
            </w:r>
          </w:p>
        </w:tc>
      </w:tr>
    </w:tbl>
    <w:p>
      <w:pPr>
        <w:spacing w:after="20"/>
      </w:pPr>
    </w:p>
    <w:p>
      <w:pPr>
        <w:pStyle w:val="Heading2"/>
      </w:pPr>
      <w:r>
        <w:t>2.3 AI不是“替人负责”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AI输出只改变调查效率，不改变责任链。操作许可必须来自工单或授权人，现场动作必须由人确认，模型只能引用已有权限状态并提示缺失。</w:t>
      </w:r>
    </w:p>
    <w:p>
      <w:pPr>
        <w:pStyle w:val="Heading1"/>
      </w:pPr>
      <w:r>
        <w:t>三、模型任务拆分</w:t>
      </w:r>
    </w:p>
    <w:p>
      <w:pPr>
        <w:pStyle w:val="Heading2"/>
      </w:pPr>
      <w:r>
        <w:t>3.1 四类推理任务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推荐模型特性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快速抽取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脱敏日志、告警、沟通摘要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结构化事实和字段置信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低延迟、JSON稳定、中文与技术文本能力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深度调查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事件事实、知识命中、工具结果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竞争假设、证据缺口、下一查询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推理、长上下文、工具调用和克制性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角色解释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已验证调查对象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面向不同角色的简明说明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指令遵循、中文表达、信息裁剪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经验整理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完整闭环、结果和人工反馈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待审核知识卡草稿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长文本归纳、结构化输出、版本意识</w:t>
            </w:r>
          </w:p>
        </w:tc>
      </w:tr>
    </w:tbl>
    <w:p>
      <w:pPr>
        <w:spacing w:after="20"/>
      </w:pPr>
    </w:p>
    <w:p>
      <w:pPr>
        <w:pStyle w:val="Heading2"/>
      </w:pPr>
      <w:r>
        <w:t>3.2 不建议“一款大模型包办”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生产后可采用快模型处理抽取和摘要，强模型只处理复杂调查；Embedding和Reranker独立部署。这样既控制成本和延迟，也能分别评测每个环节，避免总分很好却不知道问题出在哪里。</w:t>
      </w:r>
    </w:p>
    <w:p>
      <w:pPr>
        <w:pStyle w:val="Heading1"/>
      </w:pPr>
      <w:r>
        <w:t>四、强制约束与淘汰条件</w:t>
      </w:r>
    </w:p>
    <w:p>
      <w:pPr>
        <w:pStyle w:val="Heading2"/>
      </w:pPr>
      <w:r>
        <w:t>4.1 硬性淘汰条件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候选模型出现以下任一情况，不进入生产候选：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在没有来源字段时补造完整SN、机架位、端口或拓扑。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把候选根因表述成“已确认”，且无有效证据引用。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建议跳过操作许可、复核或断电确认。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工具调用参数无法被严格校验，或多次调用非白名单写工具。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无法在客户要求的数据域内部署，且客户不批准外部传输。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不能固定版本或无法提供清晰升级/退役机制。</w:t>
      </w:r>
    </w:p>
    <w:p>
      <w:pPr>
        <w:pStyle w:val="Heading2"/>
      </w:pPr>
      <w:r>
        <w:t>4.2 数据边界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模型默认只接收脱敏证据摘要、事件ID、知识片段和工具结果。完整SN、内部IP、业务载荷、客户身份、原始日志和现场照片默认不出域。即使厂商声明不训练，也必须通过客户合同、网络、安全和审计审批后才能使用云端。</w:t>
      </w:r>
    </w:p>
    <w:p>
      <w:pPr>
        <w:pStyle w:val="Heading2"/>
      </w:pPr>
      <w:r>
        <w:t>4.3 输出契约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模型必须返回结构化对象，至少包括facts、hypotheses、evidence_ids、missing_evidence、next_read_only_query、prohibited_actions和role_summary。应用层进行Schema校验、证据ID校验和状态枚举校验，失败则重试一次或降级，不解析自由文本来恢复关键决策。</w:t>
      </w:r>
    </w:p>
    <w:p>
      <w:pPr>
        <w:pStyle w:val="Heading1"/>
      </w:pPr>
      <w:r>
        <w:t>五、候选模型池</w:t>
      </w:r>
    </w:p>
    <w:p>
      <w:pPr>
        <w:pStyle w:val="Heading2"/>
      </w:pPr>
      <w:r>
        <w:t>5.1 Qwen开源权重系列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Qwen官方提供多种规模、思考/非思考模式和工具调用方案，并支持通过vLLM等方式提供兼容API；官方明确提醒函数调用本质上仍可能不稳定，生产代码必须准备校验和纠正措施。</w:t>
      </w:r>
      <w:hyperlink r:id="rId1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Qwen3官方仓库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Qwen函数调用说明</w:t>
        </w:r>
      </w:hyperlink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b/>
          <w:color w:val="172B3A"/>
          <w:sz w:val="21"/>
        </w:rPr>
        <w:t>适合机鉴：</w:t>
      </w:r>
      <w:r>
        <w:rPr>
          <w:rFonts w:ascii="Hiragino Sans GB" w:hAnsi="Hiragino Sans GB" w:eastAsia="Hiragino Sans GB"/>
          <w:color w:val="172B3A"/>
          <w:sz w:val="21"/>
        </w:rPr>
        <w:t xml:space="preserve"> 中文机房术语、私有化、多尺寸硬件适配、工具调用、合作厂商二次服务。</w:t>
      </w:r>
      <w:r>
        <w:rPr>
          <w:rFonts w:ascii="Hiragino Sans GB" w:hAnsi="Hiragino Sans GB" w:eastAsia="Hiragino Sans GB"/>
          <w:b/>
          <w:color w:val="172B3A"/>
          <w:sz w:val="21"/>
        </w:rPr>
        <w:t>主要风险：</w:t>
      </w:r>
      <w:r>
        <w:rPr>
          <w:rFonts w:ascii="Hiragino Sans GB" w:hAnsi="Hiragino Sans GB" w:eastAsia="Hiragino Sans GB"/>
          <w:color w:val="172B3A"/>
          <w:sz w:val="21"/>
        </w:rPr>
        <w:t xml:space="preserve"> 不同尺寸和量化版本能力差异大；工具调用模板、推理模式和服务框架会影响结果，不能把官方通用榜单当成机鉴成绩。</w:t>
      </w:r>
    </w:p>
    <w:p>
      <w:pPr>
        <w:pStyle w:val="Heading2"/>
      </w:pPr>
      <w:r>
        <w:t>5.2 DeepSeek API系列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DeepSeek官方API提供OpenAI/Anthropic兼容形式，当前V4 Flash/Pro支持JSON和工具调用；模型名和版本有明确变更记录。</w:t>
      </w: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DeepSeek API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工具调用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7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更新记录</w:t>
        </w:r>
      </w:hyperlink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b/>
          <w:color w:val="172B3A"/>
          <w:sz w:val="21"/>
        </w:rPr>
        <w:t>适合机鉴：</w:t>
      </w:r>
      <w:r>
        <w:rPr>
          <w:rFonts w:ascii="Hiragino Sans GB" w:hAnsi="Hiragino Sans GB" w:eastAsia="Hiragino Sans GB"/>
          <w:color w:val="172B3A"/>
          <w:sz w:val="21"/>
        </w:rPr>
        <w:t xml:space="preserve"> 兼容适配、批量评测、成本敏感任务。</w:t>
      </w:r>
      <w:r>
        <w:rPr>
          <w:rFonts w:ascii="Hiragino Sans GB" w:hAnsi="Hiragino Sans GB" w:eastAsia="Hiragino Sans GB"/>
          <w:b/>
          <w:color w:val="172B3A"/>
          <w:sz w:val="21"/>
        </w:rPr>
        <w:t>主要风险：</w:t>
      </w:r>
      <w:r>
        <w:rPr>
          <w:rFonts w:ascii="Hiragino Sans GB" w:hAnsi="Hiragino Sans GB" w:eastAsia="Hiragino Sans GB"/>
          <w:color w:val="172B3A"/>
          <w:sz w:val="21"/>
        </w:rPr>
        <w:t xml:space="preserve"> 云端数据边界、版本快速变化、接口能力差异和私有部署条件需单独核实。</w:t>
      </w:r>
    </w:p>
    <w:p>
      <w:pPr>
        <w:pStyle w:val="Heading2"/>
      </w:pPr>
      <w:r>
        <w:t>5.3 OpenAI GPT系列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OpenAI官方提供Responses API、函数调用和Structured Outputs；严格模式可以约束工具参数Schema，但应用仍需处理边缘失败。</w:t>
      </w:r>
      <w:hyperlink r:id="rId18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函数调用说明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9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Structured Outputs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20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GPT-5.6</w:t>
        </w:r>
      </w:hyperlink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b/>
          <w:color w:val="172B3A"/>
          <w:sz w:val="21"/>
        </w:rPr>
        <w:t>适合机鉴：</w:t>
      </w:r>
      <w:r>
        <w:rPr>
          <w:rFonts w:ascii="Hiragino Sans GB" w:hAnsi="Hiragino Sans GB" w:eastAsia="Hiragino Sans GB"/>
          <w:color w:val="172B3A"/>
          <w:sz w:val="21"/>
        </w:rPr>
        <w:t xml:space="preserve"> 作为高能力工具调用和复杂调查的对照上界。</w:t>
      </w:r>
      <w:r>
        <w:rPr>
          <w:rFonts w:ascii="Hiragino Sans GB" w:hAnsi="Hiragino Sans GB" w:eastAsia="Hiragino Sans GB"/>
          <w:b/>
          <w:color w:val="172B3A"/>
          <w:sz w:val="21"/>
        </w:rPr>
        <w:t>主要风险：</w:t>
      </w:r>
      <w:r>
        <w:rPr>
          <w:rFonts w:ascii="Hiragino Sans GB" w:hAnsi="Hiragino Sans GB" w:eastAsia="Hiragino Sans GB"/>
          <w:color w:val="172B3A"/>
          <w:sz w:val="21"/>
        </w:rPr>
        <w:t xml:space="preserve"> 原始数据出域、区域与合同要求、成本、依赖云服务；不作为默认生产路线。</w:t>
      </w:r>
    </w:p>
    <w:p>
      <w:pPr>
        <w:pStyle w:val="Heading2"/>
      </w:pPr>
      <w:r>
        <w:t>5.4 Anthropic Claude系列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Anthropic将工具使用定义为应用与模型之间的契约：模型产生结构化请求，应用执行并返回结果；严格工具Schema可增强参数一致性。</w:t>
      </w:r>
      <w:hyperlink r:id="rId21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Claude工具使用原理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22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当前模型概览</w:t>
        </w:r>
      </w:hyperlink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b/>
          <w:color w:val="172B3A"/>
          <w:sz w:val="21"/>
        </w:rPr>
        <w:t>适合机鉴：</w:t>
      </w:r>
      <w:r>
        <w:rPr>
          <w:rFonts w:ascii="Hiragino Sans GB" w:hAnsi="Hiragino Sans GB" w:eastAsia="Hiragino Sans GB"/>
          <w:color w:val="172B3A"/>
          <w:sz w:val="21"/>
        </w:rPr>
        <w:t xml:space="preserve"> 长上下文、工具链、复杂证据综合的云端对照。</w:t>
      </w:r>
      <w:r>
        <w:rPr>
          <w:rFonts w:ascii="Hiragino Sans GB" w:hAnsi="Hiragino Sans GB" w:eastAsia="Hiragino Sans GB"/>
          <w:b/>
          <w:color w:val="172B3A"/>
          <w:sz w:val="21"/>
        </w:rPr>
        <w:t>主要风险：</w:t>
      </w:r>
      <w:r>
        <w:rPr>
          <w:rFonts w:ascii="Hiragino Sans GB" w:hAnsi="Hiragino Sans GB" w:eastAsia="Hiragino Sans GB"/>
          <w:color w:val="172B3A"/>
          <w:sz w:val="21"/>
        </w:rPr>
        <w:t xml:space="preserve"> 数据出域、API形态与现有OpenAI-compatible适配器不同，需要独立适配；高能力型号成本较高。</w:t>
      </w:r>
    </w:p>
    <w:p>
      <w:pPr>
        <w:pStyle w:val="Heading2"/>
      </w:pPr>
      <w:r>
        <w:t>5.5 Google Gemini系列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Gemini官方支持函数调用、并行/组合调用和结构化输出，稳定模型应使用固定版本而非latest别名。</w:t>
      </w:r>
      <w:hyperlink r:id="rId2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Gemini函数调用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2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结构化输出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2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模型版本说明</w:t>
        </w:r>
      </w:hyperlink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b/>
          <w:color w:val="172B3A"/>
          <w:sz w:val="21"/>
        </w:rPr>
        <w:t>适合机鉴：</w:t>
      </w:r>
      <w:r>
        <w:rPr>
          <w:rFonts w:ascii="Hiragino Sans GB" w:hAnsi="Hiragino Sans GB" w:eastAsia="Hiragino Sans GB"/>
          <w:color w:val="172B3A"/>
          <w:sz w:val="21"/>
        </w:rPr>
        <w:t xml:space="preserve"> 云端多模态和工具调用对照，未来可用于受控SN标签图像识别实验。</w:t>
      </w:r>
      <w:r>
        <w:rPr>
          <w:rFonts w:ascii="Hiragino Sans GB" w:hAnsi="Hiragino Sans GB" w:eastAsia="Hiragino Sans GB"/>
          <w:b/>
          <w:color w:val="172B3A"/>
          <w:sz w:val="21"/>
        </w:rPr>
        <w:t>主要风险：</w:t>
      </w:r>
      <w:r>
        <w:rPr>
          <w:rFonts w:ascii="Hiragino Sans GB" w:hAnsi="Hiragino Sans GB" w:eastAsia="Hiragino Sans GB"/>
          <w:color w:val="172B3A"/>
          <w:sz w:val="21"/>
        </w:rPr>
        <w:t xml:space="preserve"> 当前产品不需要把图像原文送云；供应商适配、数据域和固定版本仍需评审。</w:t>
      </w:r>
    </w:p>
    <w:p>
      <w:pPr>
        <w:pStyle w:val="Heading1"/>
      </w:pPr>
      <w:r>
        <w:t>六、竞争性比较</w:t>
      </w:r>
    </w:p>
    <w:p>
      <w:pPr>
        <w:pStyle w:val="Heading2"/>
      </w:pPr>
      <w:r>
        <w:t>6.1 能力与落地比较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评分为选型前的架构预判，5分代表更符合机鉴当前约束，不代表模型质量绝对排名。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候选路线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私有化适配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中文与技术日志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工具/结构化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数据域可控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接口适配成本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预选结论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Qwen本地/私有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默认主模型候选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合作方兼容私有模型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待测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待测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商务主路线，必须盲测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DeepSeek云API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脱敏批量对照候选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OpenAI GPT云API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能力上界对照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Claude云API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长上下文/工具对照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Gemini云API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</w:t>
            </w:r>
          </w:p>
        </w:tc>
        <w:tc>
          <w:tcPr>
            <w:tcW w:type="dxa" w:w="13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多模态/工具对照</w:t>
            </w:r>
          </w:p>
        </w:tc>
      </w:tr>
    </w:tbl>
    <w:p>
      <w:pPr>
        <w:spacing w:after="20"/>
      </w:pPr>
    </w:p>
    <w:p>
      <w:pPr>
        <w:pStyle w:val="Heading2"/>
      </w:pPr>
      <w:r>
        <w:t>6.2 不是简单模仿竞品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通用AIOps产品常见优势是告警聚合、Kubernetes调查或可观测性查询；机鉴的差异不是“再加一个聊天框”，而是把IDC物理现场、完整SN、机架位、操作许可、双岗复核、OMS资产回填和CC边界纳入同一证据链。模型选型必须服务这个差异，不能只看通用代码或数学榜单。</w:t>
      </w:r>
    </w:p>
    <w:p>
      <w:pPr>
        <w:pStyle w:val="Heading1"/>
      </w:pPr>
      <w:r>
        <w:t>七、加权评分模型</w:t>
      </w:r>
    </w:p>
    <w:p>
      <w:pPr>
        <w:pStyle w:val="Heading2"/>
      </w:pPr>
      <w:r>
        <w:t>7.1 权重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测量方式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安全与不越权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20%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硬门禁题、提示词注入、伪造身份、危险动作拒绝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证据忠实度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18%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事实支持率、无证据断言率、证据ID有效率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故障调查质量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18%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根因Top K、竞争假设覆盖、错误合并率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只读工具调用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工具选择、参数Schema、停止条件、冗余调用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中文与机房术语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口语沟通、缩写、网络/系统/现场混合语料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数据域与部署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私有化、网络隔离、版本固定、审计能力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延迟与吞吐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7%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P50/P95、并发、超时与降级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成本与运维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5%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硬件、令牌、服务、升级和人员成本</w:t>
            </w:r>
          </w:p>
        </w:tc>
      </w:tr>
    </w:tbl>
    <w:p>
      <w:pPr>
        <w:spacing w:after="20"/>
      </w:pPr>
    </w:p>
    <w:p>
      <w:pPr>
        <w:pStyle w:val="Heading2"/>
      </w:pPr>
      <w:r>
        <w:t>7.2 通过规则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安全与不越权、证据忠实度任一维度低于门槛即淘汰，不允许用总分抵消。最终排序使用盲测平均分、95%置信区间、严重错误数和运行成本共同决定。</w:t>
      </w:r>
    </w:p>
    <w:p>
      <w:pPr>
        <w:pStyle w:val="Heading1"/>
      </w:pPr>
      <w:r>
        <w:t>八、主模型部署策略</w:t>
      </w:r>
    </w:p>
    <w:p>
      <w:pPr>
        <w:pStyle w:val="Heading2"/>
      </w:pPr>
      <w:r>
        <w:t>8.1 阶段一：本地候选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在客户允许的GPU或合作方私有环境中，选择一款中等规模Qwen Instruct/Thinking模型作为首个真实模型。先运行“抽取 + 单轮调查 + 单工具调用”，不直接启用长循环。若硬件不足，从较小模型开始，但必须保留强模型离线对照。</w:t>
      </w:r>
    </w:p>
    <w:p>
      <w:pPr>
        <w:pStyle w:val="Heading2"/>
      </w:pPr>
      <w:r>
        <w:t>8.2 阶段二：强模型对照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使用完全脱敏、经安全批准的固定测试集，在OpenAI、Claude、Gemini或合作方高能力模型中选一至两款作为上界。对照的目标是识别本地模型在哪些场景退化，而不是让生产数据自动外发。</w:t>
      </w:r>
    </w:p>
    <w:p>
      <w:pPr>
        <w:pStyle w:val="Heading2"/>
      </w:pPr>
      <w:r>
        <w:t>8.3 阶段三：任务路由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模型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规则直出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确定性告警和硬门禁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不调用LLM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快速抽取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单源、结构简单、低风险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本地快速模型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复杂调查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多源冲突、跨拓扑、证据缺口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本地主模型或授权私有强模型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人工升级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身份冲突、许可不明、模型多次失败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不继续模型循环</w:t>
            </w:r>
          </w:p>
        </w:tc>
      </w:tr>
    </w:tbl>
    <w:p>
      <w:pPr>
        <w:spacing w:after="20"/>
      </w:pPr>
    </w:p>
    <w:p>
      <w:pPr>
        <w:pStyle w:val="Heading1"/>
      </w:pPr>
      <w:r>
        <w:t>九、Embedding与Reranker选型</w:t>
      </w:r>
    </w:p>
    <w:p>
      <w:pPr>
        <w:pStyle w:val="Heading2"/>
      </w:pPr>
      <w:r>
        <w:t>9.1 当前能力说明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当前384维本地特征向量无模型依赖，优点是零外部服务、可解释、稳定；缺点是语义泛化有限。它适合作为回退和候选辅助，不应被称为完整向量数据库或语义RAG。</w:t>
      </w:r>
    </w:p>
    <w:p>
      <w:pPr>
        <w:pStyle w:val="Heading2"/>
      </w:pPr>
      <w:r>
        <w:t>9.2 推荐候选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Qwen3-Embedding提供0.6B、4B、8B规模，Qwen3-Reranker提供对应候选，官方给出多语言与中文检索评测，并提供训练与推理示例。</w:t>
      </w:r>
      <w:hyperlink r:id="rId2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Qwen3-Embedding官方仓库</w:t>
        </w:r>
      </w:hyperlink>
    </w:p>
    <w:p>
      <w:pPr>
        <w:pStyle w:val="Heading2"/>
      </w:pPr>
      <w:r>
        <w:t>9.3 推荐落地顺序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先建立机鉴知识检索真值集：正确卡片、干扰卡片、适用范围和“无答案”。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对比当前精确/规则检索、Qwen3-Embedding 0.6B、Embedding+Reranker。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若0.6B在Recall@8、nDCG@8和错误适用率上达标则优先；只有质量不足时再上4B。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任何向量召回都不能覆盖完整端口、完整SN、设备类型和禁止动作等精确事实。</w:t>
      </w:r>
    </w:p>
    <w:p>
      <w:pPr>
        <w:pStyle w:val="Heading1"/>
      </w:pPr>
      <w:r>
        <w:t>十、提示词、RAG与模型的组合</w:t>
      </w:r>
    </w:p>
    <w:p>
      <w:pPr>
        <w:pStyle w:val="Heading2"/>
      </w:pPr>
      <w:r>
        <w:t>10.1 System提示词职责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System提示词定义角色、输出Schema、证据规则、只读边界、禁止猜身份、状态枚举和停止条件；它不能替代应用层权限，也不能包含会频繁变化的SOP正文。</w:t>
      </w:r>
    </w:p>
    <w:p>
      <w:pPr>
        <w:pStyle w:val="Heading2"/>
      </w:pPr>
      <w:r>
        <w:t>10.2 RAG职责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RAG提供当前已发布、适用于该域与设备的经验和SOP。模型必须引用知识版本，不得把检索到的历史经验直接当成当前事实。</w:t>
      </w:r>
    </w:p>
    <w:p>
      <w:pPr>
        <w:pStyle w:val="Heading2"/>
      </w:pPr>
      <w:r>
        <w:t>10.3 应用约束职责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应用校验模型输出、证据ID、工具名、参数、轮数和敏感字段。最终操作许可、复核和发布均通过独立状态机。这三层共同构成可落地AI，而不是只靠一段很长的提示词。</w:t>
      </w:r>
    </w:p>
    <w:p>
      <w:pPr>
        <w:pStyle w:val="Heading1"/>
      </w:pPr>
      <w:r>
        <w:t>十一、模型供应商适配契约</w:t>
      </w:r>
    </w:p>
    <w:p>
      <w:pPr>
        <w:pStyle w:val="Heading2"/>
      </w:pPr>
      <w:r>
        <w:t>11.1 必需能力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基础协议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OpenAI-compatible Chat/Responses或独立适配器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模型版本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可固定版本，升级需新配置和回归测试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结构化输出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JSON Schema或可验证的工具调用参数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超时与取消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支持客户端超时，失败可安全降级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审计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记录provider_id、model_id、提示词/约束/知识版本、耗时和状态，不记录密钥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数据策略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明确传输区域、留存、训练使用、日志、删除和子处理方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凭据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仅从环境或秘密管理读取，API不返回也不持久化明文</w:t>
            </w:r>
          </w:p>
        </w:tc>
      </w:tr>
    </w:tbl>
    <w:p>
      <w:pPr>
        <w:spacing w:after="20"/>
      </w:pPr>
    </w:p>
    <w:p>
      <w:pPr>
        <w:pStyle w:val="Heading2"/>
      </w:pPr>
      <w:r>
        <w:t>11.2 已有注册槽位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当前系统预置local-openai-compatible、private-partner-adapter和authorized-cloud-adapter三个注册槽位；“可见”不等于“已连接”。提供商失败时只回退到规则与知识，不自动切换其他厂商。</w:t>
      </w:r>
    </w:p>
    <w:p>
      <w:pPr>
        <w:pStyle w:val="Heading1"/>
      </w:pPr>
      <w:r>
        <w:t>十二、成本与容量评估方法</w:t>
      </w:r>
    </w:p>
    <w:p>
      <w:pPr>
        <w:pStyle w:val="Heading2"/>
      </w:pPr>
      <w:r>
        <w:t>12.1 总拥有成本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总成本包括GPU/服务器、推理框架、模型加载与升级、令牌费用、网络、日志脱敏、监控、值守、评测和供应商支持。不能只比较每百万令牌价格。</w:t>
      </w:r>
    </w:p>
    <w:p>
      <w:pPr>
        <w:pStyle w:val="Heading2"/>
      </w:pPr>
      <w:r>
        <w:t>12.2 估算公式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月度模型成本 = 事件量 × 每事件平均模型轮数 × 每轮输入输出量 × 单价，再加私有算力和运维固定成本。真实事件日均约20张现场工单并不等于模型调用量；监控告警可能远高于工单数，必须先经事件治理和规则过滤，再调用模型。</w:t>
      </w:r>
    </w:p>
    <w:p>
      <w:pPr>
        <w:pStyle w:val="Heading2"/>
      </w:pPr>
      <w:r>
        <w:t>12.3 节流策略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同一事故的重复信号不重复发起完整模型调查。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规则已能确定的低风险事件不调用强模型。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先小模型抽取，复杂事件再升级。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缓存知识片段与固定提示词，但事件证据必须实时。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达到轮数、时间或成本上限后转人工。</w:t>
      </w:r>
    </w:p>
    <w:p>
      <w:pPr>
        <w:pStyle w:val="Heading1"/>
      </w:pPr>
      <w:r>
        <w:t>十三、POC实施方案</w:t>
      </w:r>
    </w:p>
    <w:p>
      <w:pPr>
        <w:pStyle w:val="Heading2"/>
      </w:pPr>
      <w:r>
        <w:t>13.1 候选组合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至少测试：一款本地Qwen候选、一款合作厂商候选、一款授权云端强模型；Embedding测试当前基线、Qwen3-Embedding 0.6B和加Reranker三组。</w:t>
      </w:r>
    </w:p>
    <w:p>
      <w:pPr>
        <w:pStyle w:val="Heading2"/>
      </w:pPr>
      <w:r>
        <w:t>13.2 三阶段测试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是否允许看答案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开发集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已知模拟与公开样本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调接口、Schema和提示词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验证集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独立模拟、公开样本和脱敏历史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选参数、比较模型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只由评测器持有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盲测集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未参与调试的真实或专家编制案例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最终定标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模型与开发者不可见</w:t>
            </w:r>
          </w:p>
        </w:tc>
      </w:tr>
    </w:tbl>
    <w:p>
      <w:pPr>
        <w:spacing w:after="20"/>
      </w:pPr>
    </w:p>
    <w:p>
      <w:pPr>
        <w:pStyle w:val="Heading2"/>
      </w:pPr>
      <w:r>
        <w:t>13.3 上线门禁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必须同时满足：零越权放行、零伪造身份、证据ID有效率达到门槛、根因Top K和下一步建议达到目标、P95延迟与成本可接受、模型断开降级正常、人工评审通过。详细阈值见评测报告。</w:t>
      </w:r>
    </w:p>
    <w:p>
      <w:pPr>
        <w:pStyle w:val="Heading1"/>
      </w:pPr>
      <w:r>
        <w:t>十四、风险与控制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幻觉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说得正确但事实错误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证据ID、候选措辞、无证据即不足、人工确认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工具误用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调错平台或参数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白名单、Schema、每轮一个只读工具、限时限量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提示词注入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日志中包含指令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原文作为不可信工具结果，禁止进入System提示词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模型漂移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同名模型升级后行为变化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固定模型ID、版本快照、回归评测和回滚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知识污染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重复、过期或错误经验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CMS去重、适用范围、审核、版本与有效期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数据出域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敏感日志进入云端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默认本地、字段白名单、脱敏、显式授权和审计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供应商锁定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更换模型成本高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统一内部Schema、provider适配器、模型无关RAG轨迹</w:t>
            </w:r>
          </w:p>
        </w:tc>
      </w:tr>
    </w:tbl>
    <w:p>
      <w:pPr>
        <w:spacing w:after="20"/>
      </w:pPr>
    </w:p>
    <w:p>
      <w:pPr>
        <w:pStyle w:val="Heading1"/>
      </w:pPr>
      <w:r>
        <w:t>十五、最终决策建议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现在不直接宣布唯一型号。</w:t>
      </w:r>
      <w:r>
        <w:rPr>
          <w:rFonts w:ascii="Hiragino Sans GB" w:hAnsi="Hiragino Sans GB" w:eastAsia="Hiragino Sans GB"/>
          <w:color w:val="172B3A"/>
          <w:sz w:val="21"/>
        </w:rPr>
        <w:t xml:space="preserve"> 先以本地Qwen路线完成首个真实模型接入。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把合作厂商当一等公民。</w:t>
      </w:r>
      <w:r>
        <w:rPr>
          <w:rFonts w:ascii="Hiragino Sans GB" w:hAnsi="Hiragino Sans GB" w:eastAsia="Hiragino Sans GB"/>
          <w:color w:val="172B3A"/>
          <w:sz w:val="21"/>
        </w:rPr>
        <w:t xml:space="preserve"> 对方只需实现供应商契约和通过盲测，不改事件、RAG和现场状态机。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云模型只做授权对照。</w:t>
      </w:r>
      <w:r>
        <w:rPr>
          <w:rFonts w:ascii="Hiragino Sans GB" w:hAnsi="Hiragino Sans GB" w:eastAsia="Hiragino Sans GB"/>
          <w:color w:val="172B3A"/>
          <w:sz w:val="21"/>
        </w:rPr>
        <w:t xml:space="preserve"> 其价值是测出能力上界和复杂案例差距。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先评测后路由。</w:t>
      </w:r>
      <w:r>
        <w:rPr>
          <w:rFonts w:ascii="Hiragino Sans GB" w:hAnsi="Hiragino Sans GB" w:eastAsia="Hiragino Sans GB"/>
          <w:color w:val="172B3A"/>
          <w:sz w:val="21"/>
        </w:rPr>
        <w:t xml:space="preserve"> 只有真实试点证明小模型处理简单任务可靠，才引入多模型路由。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模型可以换，证据链不能换。</w:t>
      </w:r>
      <w:r>
        <w:rPr>
          <w:rFonts w:ascii="Hiragino Sans GB" w:hAnsi="Hiragino Sans GB" w:eastAsia="Hiragino Sans GB"/>
          <w:color w:val="172B3A"/>
          <w:sz w:val="21"/>
        </w:rPr>
        <w:t xml:space="preserve"> 身份、权限、审计、知识版本和评测集是产品长期资产。</w:t>
      </w:r>
    </w:p>
    <w:p>
      <w:pPr>
        <w:pStyle w:val="Heading1"/>
      </w:pPr>
      <w:r>
        <w:t>附录A：推荐决策表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V0.1决定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复审触发条件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默认部署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客户内网/私有环境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客户书面批准外部云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主模型族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Qwen或合作方私有兼容模型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盲测不达标、硬件不满足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高能力对照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GPT-5.6、Claude 5或Gemini 3.6中选一至两款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供应商版本或合同变化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Embedding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当前精确检索保底，Qwen3-Embedding 0.6B候选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检索质量或资源不足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Reranker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质量不足时启用0.6B候选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Recall达标但排序误用高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自动动作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禁止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不因模型升级而改变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附录B：复测触发条件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模型ID、权重、量化、推理框架、工具模板或System提示词变化。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知识库主版本、约束策略、数据脱敏策略变化。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新增网络、BMC、OMS或动环工具。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客户机房、设备类型、日志格式或操作流程变化。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供应商数据政策、区域、价格、退役时间或合同变化。</w:t>
      </w:r>
    </w:p>
    <w:p>
      <w:pPr>
        <w:pStyle w:val="Heading1"/>
      </w:pPr>
      <w:r>
        <w:t>附录C：官方资料</w:t>
      </w:r>
    </w:p>
    <w:p>
      <w:pPr>
        <w:numPr>
          <w:ilvl w:val="0"/>
          <w:numId w:val="16"/>
        </w:numPr>
        <w:spacing w:after="80" w:line="300" w:lineRule="auto"/>
      </w:pPr>
      <w:hyperlink r:id="rId1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Qwen3官方仓库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1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Qwen函数调用说明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Qwen3-Embedding与Reranker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DeepSeek API文档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18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OpenAI函数调用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0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OpenAI GPT-5.6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2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Claude模型概览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1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Claude工具使用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Gemini模型版本</w:t>
        </w:r>
      </w:hyperlink>
    </w:p>
    <w:p>
      <w:pPr>
        <w:numPr>
          <w:ilvl w:val="0"/>
          <w:numId w:val="16"/>
        </w:numPr>
        <w:spacing w:after="80" w:line="300" w:lineRule="auto"/>
      </w:pPr>
      <w:hyperlink r:id="rId2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Gemini函数调用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9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679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985"/>
        <w:sz w:val="17"/>
      </w:rPr>
      <w:t>内部资料 · 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4E1E5"/>
      </w:pBdr>
    </w:pPr>
    <w:r>
      <w:rPr>
        <w:rFonts w:ascii="Hiragino Sans GB" w:hAnsi="Hiragino Sans GB" w:eastAsia="Hiragino Sans GB"/>
        <w:color w:val="667985"/>
        <w:sz w:val="17"/>
      </w:rPr>
      <w:t>机鉴 · IDC AI故障调查与现场协同平台  |  模型选型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346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QwenLM/Qwen3" TargetMode="External"/><Relationship Id="rId14" Type="http://schemas.openxmlformats.org/officeDocument/2006/relationships/hyperlink" Target="https://github.com/QwenLM/Qwen3/blob/main/docs/source/framework/function_call.md" TargetMode="External"/><Relationship Id="rId15" Type="http://schemas.openxmlformats.org/officeDocument/2006/relationships/hyperlink" Target="https://api-docs.deepseek.com/" TargetMode="External"/><Relationship Id="rId16" Type="http://schemas.openxmlformats.org/officeDocument/2006/relationships/hyperlink" Target="https://api-docs.deepseek.com/guides/tool_calls/" TargetMode="External"/><Relationship Id="rId17" Type="http://schemas.openxmlformats.org/officeDocument/2006/relationships/hyperlink" Target="https://api-docs.deepseek.com/updates" TargetMode="External"/><Relationship Id="rId18" Type="http://schemas.openxmlformats.org/officeDocument/2006/relationships/hyperlink" Target="https://help.openai.com/en/articles/8555517-function-calling-in-the-openai-api" TargetMode="External"/><Relationship Id="rId19" Type="http://schemas.openxmlformats.org/officeDocument/2006/relationships/hyperlink" Target="https://openai.com/index/introducing-structured-outputs-in-the-api/" TargetMode="External"/><Relationship Id="rId20" Type="http://schemas.openxmlformats.org/officeDocument/2006/relationships/hyperlink" Target="https://openai.com/index/gpt-5-6/" TargetMode="External"/><Relationship Id="rId21" Type="http://schemas.openxmlformats.org/officeDocument/2006/relationships/hyperlink" Target="https://platform.claude.com/docs/en/agents-and-tools/tool-use/how-tool-use-works" TargetMode="External"/><Relationship Id="rId22" Type="http://schemas.openxmlformats.org/officeDocument/2006/relationships/hyperlink" Target="https://platform.claude.com/docs/en/about-claude/models/overview" TargetMode="External"/><Relationship Id="rId23" Type="http://schemas.openxmlformats.org/officeDocument/2006/relationships/hyperlink" Target="https://ai.google.dev/gemini-api/docs/function-calling" TargetMode="External"/><Relationship Id="rId24" Type="http://schemas.openxmlformats.org/officeDocument/2006/relationships/hyperlink" Target="https://ai.google.dev/gemini-api/docs/structured-output" TargetMode="External"/><Relationship Id="rId25" Type="http://schemas.openxmlformats.org/officeDocument/2006/relationships/hyperlink" Target="https://ai.google.dev/gemini-api/docs/models" TargetMode="External"/><Relationship Id="rId26" Type="http://schemas.openxmlformats.org/officeDocument/2006/relationships/hyperlink" Target="https://github.com/QwenLM/Qwen3-Embed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机鉴 · AI模型选型报告</dc:title>
  <dc:subject>机鉴生成模型、Embedding、Reranker和供应商适配选型</dc:subject>
  <dc:creator>机鉴项目组</dc:creator>
  <cp:keywords>IDC, AI, 模型选型, Qwen, DeepSeek, GPT, Claude, Gemini, Embedding, Reranker</cp:keywords>
  <dc:description>V0.1 / 选型评审稿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